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color w:val="000000" w:themeColor="text1"/>
          <w:spacing w:val="-20"/>
          <w:sz w:val="44"/>
          <w:szCs w:val="44"/>
        </w:rPr>
      </w:pPr>
      <w:r>
        <w:rPr>
          <w:rFonts w:hint="eastAsia" w:ascii="方正小标宋简体" w:eastAsia="方正小标宋简体"/>
          <w:color w:val="000000" w:themeColor="text1"/>
          <w:spacing w:val="-20"/>
          <w:sz w:val="44"/>
          <w:szCs w:val="44"/>
        </w:rPr>
        <w:t>摩托车CCC认证规则（CNCA-C11-02:2014）调整内容</w:t>
      </w:r>
    </w:p>
    <w:p>
      <w:pPr>
        <w:spacing w:line="580" w:lineRule="exact"/>
        <w:jc w:val="center"/>
        <w:rPr>
          <w:rFonts w:hint="eastAsia" w:ascii="方正小标宋简体" w:hAnsi="仿宋" w:eastAsia="方正小标宋简体" w:cs="宋体"/>
          <w:color w:val="000000" w:themeColor="text1"/>
          <w:kern w:val="0"/>
          <w:sz w:val="44"/>
          <w:szCs w:val="44"/>
        </w:rPr>
      </w:pPr>
    </w:p>
    <w:p>
      <w:pPr>
        <w:spacing w:line="580" w:lineRule="exact"/>
        <w:ind w:firstLine="640" w:firstLineChars="200"/>
        <w:rPr>
          <w:rFonts w:hint="eastAsia" w:ascii="黑体" w:eastAsia="黑体"/>
          <w:color w:val="000000" w:themeColor="text1"/>
          <w:sz w:val="32"/>
          <w:szCs w:val="32"/>
        </w:rPr>
      </w:pPr>
      <w:r>
        <w:rPr>
          <w:rFonts w:hint="eastAsia" w:ascii="黑体" w:eastAsia="黑体"/>
          <w:color w:val="000000" w:themeColor="text1"/>
          <w:sz w:val="32"/>
          <w:szCs w:val="32"/>
        </w:rPr>
        <w:t>一、认证模式</w:t>
      </w:r>
    </w:p>
    <w:p>
      <w:pPr>
        <w:spacing w:line="58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摩托车生产企业质</w:t>
      </w:r>
      <w:bookmarkStart w:id="0" w:name="_GoBack"/>
      <w:bookmarkEnd w:id="0"/>
      <w:r>
        <w:rPr>
          <w:rFonts w:hint="eastAsia" w:ascii="方正仿宋简体" w:eastAsia="方正仿宋简体"/>
          <w:color w:val="000000" w:themeColor="text1"/>
          <w:sz w:val="32"/>
          <w:szCs w:val="32"/>
        </w:rPr>
        <w:t>量保证能力和产品一致性检查按照生产一致性审查方式进行；</w:t>
      </w:r>
    </w:p>
    <w:p>
      <w:pPr>
        <w:spacing w:line="58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单车认证：100%检验。适用于因特殊用途或因特殊原因①而未获得强制性产品认证的小批量用于生产和生活消费的进口产品。由认证机构根据国家相关政策和规定制定相应的实施细则。</w:t>
      </w:r>
    </w:p>
    <w:p>
      <w:pPr>
        <w:spacing w:line="58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注：①特殊用途或因特殊原因的适用范围为反恐安全、抢险救灾、应急指挥、体育竞技、道路试验、国家重大生产建设项目和最终用户使用(商务部门进口许可证上列明的进口目的或使用用途须为单位或个人自用)。</w:t>
      </w:r>
    </w:p>
    <w:p>
      <w:pPr>
        <w:spacing w:line="580" w:lineRule="exact"/>
        <w:ind w:firstLine="640" w:firstLineChars="200"/>
        <w:rPr>
          <w:rFonts w:hint="eastAsia" w:ascii="黑体" w:eastAsia="黑体"/>
          <w:color w:val="000000" w:themeColor="text1"/>
          <w:sz w:val="32"/>
          <w:szCs w:val="32"/>
        </w:rPr>
      </w:pPr>
      <w:r>
        <w:rPr>
          <w:rFonts w:hint="eastAsia" w:ascii="黑体" w:eastAsia="黑体"/>
          <w:color w:val="000000" w:themeColor="text1"/>
          <w:sz w:val="32"/>
          <w:szCs w:val="32"/>
        </w:rPr>
        <w:t>二、认证单元划分</w:t>
      </w:r>
    </w:p>
    <w:p>
      <w:pPr>
        <w:spacing w:line="58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增加：采用单车认证模式申请的产品不进行单元划分，以型号和具体车辆识别代号为单位颁发证书,一车一证。</w:t>
      </w:r>
    </w:p>
    <w:p>
      <w:pPr>
        <w:spacing w:line="580" w:lineRule="exact"/>
        <w:ind w:firstLine="640" w:firstLineChars="200"/>
        <w:rPr>
          <w:rFonts w:hint="eastAsia" w:ascii="黑体" w:eastAsia="黑体"/>
          <w:color w:val="000000" w:themeColor="text1"/>
          <w:sz w:val="32"/>
          <w:szCs w:val="32"/>
        </w:rPr>
      </w:pPr>
      <w:r>
        <w:rPr>
          <w:rFonts w:hint="eastAsia" w:ascii="黑体" w:eastAsia="黑体"/>
          <w:color w:val="000000" w:themeColor="text1"/>
          <w:sz w:val="32"/>
          <w:szCs w:val="32"/>
        </w:rPr>
        <w:t>三、型式试验项目及要求</w:t>
      </w:r>
    </w:p>
    <w:p>
      <w:pPr>
        <w:spacing w:line="58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增加：摩托车单车CCC认证检测项目</w:t>
      </w:r>
    </w:p>
    <w:p>
      <w:pPr>
        <w:spacing w:line="580" w:lineRule="exact"/>
        <w:ind w:firstLine="640" w:firstLineChars="200"/>
        <w:rPr>
          <w:rFonts w:ascii="方正仿宋简体" w:eastAsia="方正仿宋简体"/>
          <w:color w:val="000000" w:themeColor="text1"/>
          <w:sz w:val="32"/>
          <w:szCs w:val="32"/>
        </w:rPr>
      </w:pPr>
    </w:p>
    <w:p>
      <w:pPr>
        <w:spacing w:line="580" w:lineRule="exact"/>
        <w:ind w:firstLine="640" w:firstLineChars="200"/>
        <w:rPr>
          <w:rFonts w:ascii="方正仿宋简体" w:eastAsia="方正仿宋简体"/>
          <w:color w:val="000000" w:themeColor="text1"/>
          <w:sz w:val="32"/>
          <w:szCs w:val="32"/>
        </w:rPr>
      </w:pPr>
    </w:p>
    <w:p>
      <w:pPr>
        <w:spacing w:line="580" w:lineRule="exact"/>
        <w:ind w:firstLine="640" w:firstLineChars="200"/>
        <w:rPr>
          <w:rFonts w:ascii="方正仿宋简体" w:eastAsia="方正仿宋简体"/>
          <w:color w:val="000000" w:themeColor="text1"/>
          <w:sz w:val="32"/>
          <w:szCs w:val="32"/>
        </w:rPr>
        <w:sectPr>
          <w:pgSz w:w="11906" w:h="16838"/>
          <w:pgMar w:top="1440" w:right="1797" w:bottom="1440" w:left="1797" w:header="851" w:footer="992" w:gutter="0"/>
          <w:cols w:space="425" w:num="1"/>
          <w:docGrid w:type="lines" w:linePitch="312" w:charSpace="0"/>
        </w:sectPr>
      </w:pPr>
    </w:p>
    <w:p>
      <w:pPr>
        <w:spacing w:line="580" w:lineRule="exact"/>
        <w:jc w:val="center"/>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摩托车单车CCC认证检测项目</w:t>
      </w:r>
    </w:p>
    <w:p>
      <w:pPr>
        <w:spacing w:line="580" w:lineRule="exact"/>
        <w:jc w:val="center"/>
        <w:rPr>
          <w:rFonts w:hint="eastAsia" w:ascii="方正小标宋简体" w:eastAsia="方正小标宋简体"/>
          <w:strike/>
          <w:color w:val="000000" w:themeColor="text1"/>
          <w:sz w:val="44"/>
          <w:szCs w:val="44"/>
        </w:rPr>
      </w:pPr>
    </w:p>
    <w:tbl>
      <w:tblPr>
        <w:tblStyle w:val="9"/>
        <w:tblpPr w:leftFromText="180" w:rightFromText="180" w:vertAnchor="text" w:tblpXSpec="center" w:tblpY="1"/>
        <w:tblOverlap w:val="never"/>
        <w:tblW w:w="138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58"/>
        <w:gridCol w:w="1475"/>
        <w:gridCol w:w="568"/>
        <w:gridCol w:w="1699"/>
        <w:gridCol w:w="1555"/>
        <w:gridCol w:w="771"/>
        <w:gridCol w:w="782"/>
        <w:gridCol w:w="773"/>
        <w:gridCol w:w="757"/>
        <w:gridCol w:w="782"/>
        <w:gridCol w:w="4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blHeader/>
        </w:trPr>
        <w:tc>
          <w:tcPr>
            <w:tcW w:w="658" w:type="dxa"/>
            <w:vMerge w:val="restart"/>
            <w:vAlign w:val="center"/>
          </w:tcPr>
          <w:p>
            <w:pPr>
              <w:ind w:left="239" w:right="57"/>
              <w:rPr>
                <w:rFonts w:hint="eastAsia" w:ascii="黑体" w:hAnsi="宋体" w:eastAsia="黑体"/>
                <w:color w:val="000000" w:themeColor="text1"/>
                <w:sz w:val="18"/>
                <w:szCs w:val="18"/>
              </w:rPr>
            </w:pPr>
            <w:r>
              <w:rPr>
                <w:rFonts w:hint="eastAsia" w:ascii="黑体" w:hAnsi="宋体" w:eastAsia="黑体"/>
                <w:color w:val="000000" w:themeColor="text1"/>
                <w:sz w:val="18"/>
                <w:szCs w:val="18"/>
              </w:rPr>
              <w:t>序号</w:t>
            </w:r>
          </w:p>
        </w:tc>
        <w:tc>
          <w:tcPr>
            <w:tcW w:w="3742" w:type="dxa"/>
            <w:gridSpan w:val="3"/>
            <w:vMerge w:val="restart"/>
            <w:tcBorders>
              <w:top w:val="single" w:color="auto" w:sz="12" w:space="0"/>
            </w:tcBorders>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项目名称</w:t>
            </w:r>
          </w:p>
        </w:tc>
        <w:tc>
          <w:tcPr>
            <w:tcW w:w="1555" w:type="dxa"/>
            <w:vMerge w:val="restart"/>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依据标准</w:t>
            </w:r>
          </w:p>
        </w:tc>
        <w:tc>
          <w:tcPr>
            <w:tcW w:w="3865" w:type="dxa"/>
            <w:gridSpan w:val="5"/>
            <w:tcBorders>
              <w:right w:val="single" w:color="auto" w:sz="4" w:space="0"/>
            </w:tcBorders>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适用范围</w:t>
            </w:r>
          </w:p>
        </w:tc>
        <w:tc>
          <w:tcPr>
            <w:tcW w:w="4042" w:type="dxa"/>
            <w:vMerge w:val="restart"/>
            <w:tcBorders>
              <w:left w:val="nil"/>
            </w:tcBorders>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blHeader/>
        </w:trPr>
        <w:tc>
          <w:tcPr>
            <w:tcW w:w="658" w:type="dxa"/>
            <w:vMerge w:val="continue"/>
            <w:vAlign w:val="center"/>
          </w:tcPr>
          <w:p>
            <w:pPr>
              <w:ind w:left="239" w:right="57"/>
              <w:rPr>
                <w:rFonts w:ascii="宋体" w:hAnsi="宋体"/>
                <w:b/>
                <w:color w:val="000000" w:themeColor="text1"/>
                <w:sz w:val="18"/>
                <w:szCs w:val="18"/>
              </w:rPr>
            </w:pPr>
          </w:p>
        </w:tc>
        <w:tc>
          <w:tcPr>
            <w:tcW w:w="3742" w:type="dxa"/>
            <w:gridSpan w:val="3"/>
            <w:vMerge w:val="continue"/>
            <w:tcBorders>
              <w:bottom w:val="single" w:color="auto" w:sz="4" w:space="0"/>
            </w:tcBorders>
            <w:vAlign w:val="center"/>
          </w:tcPr>
          <w:p>
            <w:pPr>
              <w:ind w:left="105" w:leftChars="50" w:right="105" w:rightChars="50"/>
              <w:jc w:val="center"/>
              <w:rPr>
                <w:rFonts w:ascii="宋体" w:hAnsi="宋体"/>
                <w:b/>
                <w:color w:val="000000" w:themeColor="text1"/>
                <w:sz w:val="18"/>
                <w:szCs w:val="18"/>
              </w:rPr>
            </w:pPr>
          </w:p>
        </w:tc>
        <w:tc>
          <w:tcPr>
            <w:tcW w:w="1555" w:type="dxa"/>
            <w:vMerge w:val="continue"/>
            <w:vAlign w:val="center"/>
          </w:tcPr>
          <w:p>
            <w:pPr>
              <w:ind w:left="105" w:leftChars="50" w:right="105" w:rightChars="50"/>
              <w:jc w:val="center"/>
              <w:rPr>
                <w:rFonts w:ascii="宋体" w:hAnsi="宋体"/>
                <w:b/>
                <w:color w:val="000000" w:themeColor="text1"/>
                <w:sz w:val="18"/>
                <w:szCs w:val="18"/>
              </w:rPr>
            </w:pPr>
          </w:p>
        </w:tc>
        <w:tc>
          <w:tcPr>
            <w:tcW w:w="771" w:type="dxa"/>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L1</w:t>
            </w:r>
          </w:p>
        </w:tc>
        <w:tc>
          <w:tcPr>
            <w:tcW w:w="782" w:type="dxa"/>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L2</w:t>
            </w:r>
          </w:p>
        </w:tc>
        <w:tc>
          <w:tcPr>
            <w:tcW w:w="773" w:type="dxa"/>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L3</w:t>
            </w:r>
          </w:p>
        </w:tc>
        <w:tc>
          <w:tcPr>
            <w:tcW w:w="757" w:type="dxa"/>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L4</w:t>
            </w:r>
          </w:p>
        </w:tc>
        <w:tc>
          <w:tcPr>
            <w:tcW w:w="782" w:type="dxa"/>
            <w:vAlign w:val="center"/>
          </w:tcPr>
          <w:p>
            <w:pPr>
              <w:ind w:left="105" w:leftChars="50" w:right="105" w:rightChars="50"/>
              <w:jc w:val="center"/>
              <w:rPr>
                <w:rFonts w:hint="eastAsia" w:ascii="黑体" w:hAnsi="宋体" w:eastAsia="黑体"/>
                <w:color w:val="000000" w:themeColor="text1"/>
                <w:sz w:val="18"/>
                <w:szCs w:val="18"/>
              </w:rPr>
            </w:pPr>
            <w:r>
              <w:rPr>
                <w:rFonts w:hint="eastAsia" w:ascii="黑体" w:hAnsi="宋体" w:eastAsia="黑体"/>
                <w:color w:val="000000" w:themeColor="text1"/>
                <w:sz w:val="18"/>
                <w:szCs w:val="18"/>
              </w:rPr>
              <w:t>L5</w:t>
            </w:r>
          </w:p>
        </w:tc>
        <w:tc>
          <w:tcPr>
            <w:tcW w:w="4042" w:type="dxa"/>
            <w:vMerge w:val="continue"/>
            <w:vAlign w:val="center"/>
          </w:tcPr>
          <w:p>
            <w:pPr>
              <w:ind w:left="105" w:leftChars="50" w:right="105" w:rightChars="50"/>
              <w:jc w:val="center"/>
              <w:rPr>
                <w:rFonts w:ascii="宋体" w:hAnsi="宋体"/>
                <w:b/>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tcBorders>
              <w:top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车辆识别代号</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16735-2004</w:t>
            </w:r>
          </w:p>
        </w:tc>
        <w:tc>
          <w:tcPr>
            <w:tcW w:w="771" w:type="dxa"/>
            <w:vMerge w:val="restart"/>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Merge w:val="restart"/>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Merge w:val="restart"/>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Merge w:val="restart"/>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Merge w:val="restart"/>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Merge w:val="restart"/>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16737-2004</w:t>
            </w:r>
          </w:p>
        </w:tc>
        <w:tc>
          <w:tcPr>
            <w:tcW w:w="771" w:type="dxa"/>
            <w:vMerge w:val="continue"/>
            <w:vAlign w:val="center"/>
          </w:tcPr>
          <w:p>
            <w:pPr>
              <w:ind w:left="105" w:leftChars="50" w:right="105" w:rightChars="50"/>
              <w:jc w:val="center"/>
              <w:rPr>
                <w:rFonts w:ascii="宋体" w:hAnsi="宋体"/>
                <w:color w:val="000000" w:themeColor="text1"/>
                <w:sz w:val="18"/>
                <w:szCs w:val="18"/>
              </w:rPr>
            </w:pPr>
          </w:p>
        </w:tc>
        <w:tc>
          <w:tcPr>
            <w:tcW w:w="782" w:type="dxa"/>
            <w:vMerge w:val="continue"/>
            <w:vAlign w:val="center"/>
          </w:tcPr>
          <w:p>
            <w:pPr>
              <w:ind w:left="105" w:leftChars="50" w:right="105" w:rightChars="50"/>
              <w:jc w:val="center"/>
              <w:rPr>
                <w:rFonts w:ascii="宋体" w:hAnsi="宋体"/>
                <w:color w:val="000000" w:themeColor="text1"/>
                <w:sz w:val="18"/>
                <w:szCs w:val="18"/>
              </w:rPr>
            </w:pPr>
          </w:p>
        </w:tc>
        <w:tc>
          <w:tcPr>
            <w:tcW w:w="773" w:type="dxa"/>
            <w:vMerge w:val="continue"/>
            <w:vAlign w:val="center"/>
          </w:tcPr>
          <w:p>
            <w:pPr>
              <w:ind w:left="105" w:leftChars="50" w:right="105" w:rightChars="50"/>
              <w:jc w:val="center"/>
              <w:rPr>
                <w:rFonts w:ascii="宋体" w:hAnsi="宋体"/>
                <w:color w:val="000000" w:themeColor="text1"/>
                <w:sz w:val="18"/>
                <w:szCs w:val="18"/>
              </w:rPr>
            </w:pPr>
          </w:p>
        </w:tc>
        <w:tc>
          <w:tcPr>
            <w:tcW w:w="757" w:type="dxa"/>
            <w:vMerge w:val="continue"/>
            <w:vAlign w:val="center"/>
          </w:tcPr>
          <w:p>
            <w:pPr>
              <w:ind w:left="105" w:leftChars="50" w:right="105" w:rightChars="50"/>
              <w:jc w:val="center"/>
              <w:rPr>
                <w:rFonts w:ascii="宋体" w:hAnsi="宋体"/>
                <w:color w:val="000000" w:themeColor="text1"/>
                <w:sz w:val="18"/>
                <w:szCs w:val="18"/>
              </w:rPr>
            </w:pPr>
          </w:p>
        </w:tc>
        <w:tc>
          <w:tcPr>
            <w:tcW w:w="782" w:type="dxa"/>
            <w:vMerge w:val="continue"/>
            <w:vAlign w:val="center"/>
          </w:tcPr>
          <w:p>
            <w:pPr>
              <w:ind w:left="105" w:leftChars="50" w:right="105" w:rightChars="50"/>
              <w:jc w:val="center"/>
              <w:rPr>
                <w:rFonts w:ascii="宋体" w:hAnsi="宋体"/>
                <w:color w:val="000000" w:themeColor="text1"/>
                <w:sz w:val="18"/>
                <w:szCs w:val="18"/>
              </w:rPr>
            </w:pPr>
          </w:p>
        </w:tc>
        <w:tc>
          <w:tcPr>
            <w:tcW w:w="4042" w:type="dxa"/>
            <w:vMerge w:val="continue"/>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车速表指示误差值</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车辆标志</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考核中文、标志、内容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转向装置</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前照灯光束照射位置及发光强度</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三轮车辆整车整备质量</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车速受限车辆的最高车速</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转向轴轴荷比</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乘坐人数核定</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s="宋体"/>
                <w:color w:val="000000" w:themeColor="text1"/>
                <w:kern w:val="0"/>
                <w:sz w:val="18"/>
                <w:szCs w:val="18"/>
              </w:rPr>
              <w:t>不带驾驶室的三轮载货摩托车不适用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1475" w:type="dxa"/>
            <w:vMerge w:val="restart"/>
            <w:tcBorders>
              <w:righ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安全防护装置</w:t>
            </w: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后视镜</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前风窗玻璃刮水器</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适用于装有</w:t>
            </w:r>
            <w:r>
              <w:rPr>
                <w:rFonts w:hint="eastAsia"/>
                <w:color w:val="000000" w:themeColor="text1"/>
                <w:sz w:val="18"/>
                <w:szCs w:val="18"/>
              </w:rPr>
              <w:t>前风窗玻璃的摩托车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燃料系统</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发动机的排气管口</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摩托车外廓尺寸</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侧倾稳定角</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驻车性能</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操纵件、指示器及信号装置的图形符号</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15365-2008</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加速行驶噪声</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16169-2005</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电动摩托车不适用，</w:t>
            </w:r>
          </w:p>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不考核附录A.3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定置噪声</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4569-2005</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vAlign w:val="center"/>
          </w:tcPr>
          <w:p>
            <w:pPr>
              <w:ind w:left="105" w:leftChars="50" w:right="105" w:rightChars="50"/>
              <w:jc w:val="left"/>
              <w:rPr>
                <w:color w:val="000000" w:themeColor="text1"/>
                <w:sz w:val="18"/>
                <w:szCs w:val="18"/>
              </w:rPr>
            </w:pPr>
            <w:r>
              <w:rPr>
                <w:rFonts w:hint="eastAsia"/>
                <w:color w:val="000000" w:themeColor="text1"/>
                <w:sz w:val="18"/>
                <w:szCs w:val="18"/>
              </w:rPr>
              <w:t>燃油消耗量</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15744-2008</w:t>
            </w:r>
          </w:p>
        </w:tc>
        <w:tc>
          <w:tcPr>
            <w:tcW w:w="771"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bottom w:val="single" w:color="auto" w:sz="4" w:space="0"/>
            </w:tcBorders>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16486-2008</w:t>
            </w:r>
          </w:p>
        </w:tc>
        <w:tc>
          <w:tcPr>
            <w:tcW w:w="771"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4" w:space="0"/>
            </w:tcBorders>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电动摩托车能量消耗率</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/T24157-2009</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vAlign w:val="center"/>
          </w:tcPr>
          <w:p>
            <w:pPr>
              <w:ind w:left="105" w:leftChars="50" w:right="105" w:rightChars="50"/>
              <w:jc w:val="left"/>
              <w:rPr>
                <w:color w:val="000000" w:themeColor="text1"/>
                <w:sz w:val="18"/>
                <w:szCs w:val="18"/>
              </w:rPr>
            </w:pPr>
            <w:r>
              <w:rPr>
                <w:rFonts w:hint="eastAsia"/>
                <w:color w:val="000000" w:themeColor="text1"/>
                <w:sz w:val="18"/>
                <w:szCs w:val="18"/>
              </w:rPr>
              <w:t>喇叭安装性能</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15742-2001</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仅考核第4.1.2条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7258-2012</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vAlign w:val="center"/>
          </w:tcPr>
          <w:p>
            <w:pPr>
              <w:ind w:left="105" w:leftChars="50" w:right="105" w:rightChars="50"/>
              <w:jc w:val="left"/>
              <w:rPr>
                <w:color w:val="000000" w:themeColor="text1"/>
                <w:sz w:val="18"/>
                <w:szCs w:val="18"/>
              </w:rPr>
            </w:pPr>
            <w:r>
              <w:rPr>
                <w:rFonts w:hint="eastAsia"/>
                <w:color w:val="000000" w:themeColor="text1"/>
                <w:sz w:val="18"/>
                <w:szCs w:val="18"/>
              </w:rPr>
              <w:t>无线电骚扰</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14023-2011</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GB/T 18387-2008</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仅电动摩托车适用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制动性能</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20073-2006</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shd w:val="clear" w:color="auto" w:fill="auto"/>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不考核附录B(对装有防抱死装置的两轮轻便摩托车和两轮摩托车的要求)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vAlign w:val="center"/>
          </w:tcPr>
          <w:p>
            <w:pPr>
              <w:ind w:left="105" w:leftChars="50" w:right="105" w:rightChars="50"/>
              <w:jc w:val="left"/>
              <w:rPr>
                <w:color w:val="000000" w:themeColor="text1"/>
                <w:sz w:val="18"/>
                <w:szCs w:val="18"/>
              </w:rPr>
            </w:pPr>
            <w:r>
              <w:rPr>
                <w:rFonts w:hint="eastAsia"/>
                <w:color w:val="000000" w:themeColor="text1"/>
                <w:sz w:val="18"/>
                <w:szCs w:val="18"/>
              </w:rPr>
              <w:t>后视镜安装性能</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 xml:space="preserve">GB 17352-2010    </w:t>
            </w:r>
          </w:p>
        </w:tc>
        <w:tc>
          <w:tcPr>
            <w:tcW w:w="771"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tcBorders>
              <w:bottom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tcBorders>
              <w:bottom w:val="single" w:color="auto" w:sz="4" w:space="0"/>
            </w:tcBorders>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仅考核第5条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 xml:space="preserve">GB 15084-2013  </w:t>
            </w:r>
          </w:p>
        </w:tc>
        <w:tc>
          <w:tcPr>
            <w:tcW w:w="771"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4" w:space="0"/>
            </w:tcBorders>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tcBorders>
              <w:top w:val="single" w:color="auto" w:sz="4" w:space="0"/>
            </w:tcBorders>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仅考核第6.1-6.4条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防盗装置</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17353-2014</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s="宋体"/>
                <w:color w:val="000000" w:themeColor="text1"/>
                <w:kern w:val="0"/>
                <w:sz w:val="18"/>
                <w:szCs w:val="18"/>
              </w:rPr>
            </w:pPr>
            <w:r>
              <w:rPr>
                <w:rFonts w:hint="eastAsia" w:ascii="宋体" w:hAnsi="宋体" w:cs="宋体"/>
                <w:color w:val="000000" w:themeColor="text1"/>
                <w:kern w:val="0"/>
                <w:sz w:val="18"/>
                <w:szCs w:val="18"/>
              </w:rPr>
              <w:t>不考核第5.4条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02"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vAlign w:val="center"/>
          </w:tcPr>
          <w:p>
            <w:pPr>
              <w:ind w:left="105" w:leftChars="50" w:right="105" w:rightChars="50"/>
              <w:jc w:val="left"/>
              <w:rPr>
                <w:color w:val="000000" w:themeColor="text1"/>
                <w:sz w:val="18"/>
                <w:szCs w:val="18"/>
              </w:rPr>
            </w:pPr>
            <w:r>
              <w:rPr>
                <w:rFonts w:hint="eastAsia"/>
                <w:color w:val="000000" w:themeColor="text1"/>
                <w:sz w:val="18"/>
                <w:szCs w:val="18"/>
              </w:rPr>
              <w:t>照明和光信号装置的安装</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18100.1-2010</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18100.2-2010</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3742" w:type="dxa"/>
            <w:gridSpan w:val="3"/>
            <w:vMerge w:val="continue"/>
            <w:vAlign w:val="center"/>
          </w:tcPr>
          <w:p>
            <w:pPr>
              <w:ind w:left="105" w:leftChars="50" w:right="105" w:rightChars="50"/>
              <w:jc w:val="left"/>
              <w:rPr>
                <w:color w:val="000000" w:themeColor="text1"/>
                <w:sz w:val="18"/>
                <w:szCs w:val="18"/>
              </w:rPr>
            </w:pP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18100.3-2010</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外部凸出物</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20074-2006</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乘员扶手</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20075-2006</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Ansi="宋体"/>
                <w:color w:val="000000" w:themeColor="text1"/>
                <w:sz w:val="18"/>
                <w:szCs w:val="18"/>
              </w:rPr>
              <w:t>装置、结构审查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燃油箱（指出油箱材料）</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19482-2004</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燃油蒸发</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20998-2007</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hAnsi="宋体"/>
                <w:color w:val="000000" w:themeColor="text1"/>
                <w:sz w:val="18"/>
                <w:szCs w:val="18"/>
              </w:rPr>
            </w:pPr>
            <w:r>
              <w:rPr>
                <w:rFonts w:hAnsi="宋体"/>
                <w:color w:val="000000" w:themeColor="text1"/>
                <w:sz w:val="18"/>
                <w:szCs w:val="18"/>
              </w:rPr>
              <w:t>装置、结构审查</w:t>
            </w:r>
          </w:p>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1475" w:type="dxa"/>
            <w:vMerge w:val="restart"/>
            <w:tcBorders>
              <w:right w:val="single" w:color="auto" w:sz="4" w:space="0"/>
            </w:tcBorders>
            <w:vAlign w:val="center"/>
          </w:tcPr>
          <w:p>
            <w:pPr>
              <w:ind w:left="105" w:leftChars="50"/>
              <w:jc w:val="left"/>
              <w:rPr>
                <w:color w:val="000000" w:themeColor="text1"/>
                <w:sz w:val="18"/>
                <w:szCs w:val="18"/>
              </w:rPr>
            </w:pPr>
            <w:r>
              <w:rPr>
                <w:rFonts w:hint="eastAsia"/>
                <w:color w:val="000000" w:themeColor="text1"/>
                <w:sz w:val="18"/>
                <w:szCs w:val="18"/>
              </w:rPr>
              <w:t>排气污染物排放</w:t>
            </w: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双怠速法</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14621-2011</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jc w:val="left"/>
              <w:rPr>
                <w:color w:val="000000" w:themeColor="text1"/>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I型试验</w:t>
            </w:r>
          </w:p>
        </w:tc>
        <w:tc>
          <w:tcPr>
            <w:tcW w:w="1555" w:type="dxa"/>
            <w:vMerge w:val="restart"/>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14622-2007</w:t>
            </w:r>
          </w:p>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（摩托车）                  GB 18176-2007     （轻便摩托车）</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III型试验</w:t>
            </w:r>
          </w:p>
        </w:tc>
        <w:tc>
          <w:tcPr>
            <w:tcW w:w="1555" w:type="dxa"/>
            <w:vMerge w:val="continue"/>
            <w:vAlign w:val="center"/>
          </w:tcPr>
          <w:p>
            <w:pPr>
              <w:ind w:left="105" w:leftChars="50" w:right="105" w:rightChars="50"/>
              <w:jc w:val="left"/>
              <w:rPr>
                <w:rFonts w:ascii="宋体" w:hAnsi="宋体"/>
                <w:color w:val="000000" w:themeColor="text1"/>
                <w:sz w:val="18"/>
                <w:szCs w:val="18"/>
              </w:rPr>
            </w:pP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电动摩托车不适用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V型试验（指出耐久里程，若需选择最少试验里程，一旦不合格的试验方案）</w:t>
            </w:r>
          </w:p>
        </w:tc>
        <w:tc>
          <w:tcPr>
            <w:tcW w:w="1555" w:type="dxa"/>
            <w:vMerge w:val="continue"/>
            <w:vAlign w:val="center"/>
          </w:tcPr>
          <w:p>
            <w:pPr>
              <w:ind w:left="105" w:leftChars="50" w:right="105" w:rightChars="50"/>
              <w:jc w:val="left"/>
              <w:rPr>
                <w:rFonts w:ascii="宋体" w:hAnsi="宋体"/>
                <w:color w:val="000000" w:themeColor="text1"/>
                <w:sz w:val="18"/>
                <w:szCs w:val="18"/>
              </w:rPr>
            </w:pP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1475" w:type="dxa"/>
            <w:vMerge w:val="restart"/>
            <w:tcBorders>
              <w:right w:val="single" w:color="auto" w:sz="4" w:space="0"/>
            </w:tcBorders>
            <w:vAlign w:val="center"/>
          </w:tcPr>
          <w:p>
            <w:pPr>
              <w:ind w:left="105" w:leftChars="50" w:right="105" w:rightChars="50"/>
              <w:jc w:val="left"/>
              <w:rPr>
                <w:color w:val="000000" w:themeColor="text1"/>
                <w:sz w:val="18"/>
                <w:szCs w:val="18"/>
              </w:rPr>
            </w:pPr>
            <w:r>
              <w:rPr>
                <w:rFonts w:hint="eastAsia" w:ascii="宋体" w:hAnsi="宋体" w:cs="宋体"/>
                <w:color w:val="000000" w:themeColor="text1"/>
                <w:kern w:val="0"/>
                <w:sz w:val="18"/>
                <w:szCs w:val="18"/>
              </w:rPr>
              <w:t>电驱动摩托车安全要求</w:t>
            </w: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安全性检查</w:t>
            </w:r>
          </w:p>
        </w:tc>
        <w:tc>
          <w:tcPr>
            <w:tcW w:w="1555" w:type="dxa"/>
            <w:vMerge w:val="restart"/>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24155-2009</w:t>
            </w:r>
          </w:p>
        </w:tc>
        <w:tc>
          <w:tcPr>
            <w:tcW w:w="771"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ascii="宋体" w:hAnsi="宋体"/>
                <w:color w:val="000000" w:themeColor="text1"/>
                <w:sz w:val="18"/>
                <w:szCs w:val="18"/>
              </w:rPr>
              <w:t>√</w:t>
            </w:r>
          </w:p>
        </w:tc>
        <w:tc>
          <w:tcPr>
            <w:tcW w:w="4042" w:type="dxa"/>
            <w:vMerge w:val="restart"/>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仅电动摩托车适用，进行“安全性检查”， “安全性检查”指4.1、4.2.1、4.2.2、4.2.4、4.2.5、4.3.1、4.3.2.1、4.3.2.2、4.3.2.4、4.4条要求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rFonts w:ascii="宋体" w:hAnsi="宋体" w:cs="宋体"/>
                <w:color w:val="000000" w:themeColor="text1"/>
                <w:kern w:val="0"/>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防水试验</w:t>
            </w:r>
          </w:p>
        </w:tc>
        <w:tc>
          <w:tcPr>
            <w:tcW w:w="1555" w:type="dxa"/>
            <w:vMerge w:val="continue"/>
            <w:vAlign w:val="center"/>
          </w:tcPr>
          <w:p>
            <w:pPr>
              <w:ind w:left="105" w:leftChars="50" w:right="105" w:rightChars="50"/>
              <w:jc w:val="left"/>
              <w:rPr>
                <w:rFonts w:ascii="宋体" w:hAnsi="宋体"/>
                <w:color w:val="000000" w:themeColor="text1"/>
                <w:sz w:val="18"/>
                <w:szCs w:val="18"/>
              </w:rPr>
            </w:pP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continue"/>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绝缘电阻</w:t>
            </w:r>
          </w:p>
        </w:tc>
        <w:tc>
          <w:tcPr>
            <w:tcW w:w="1555" w:type="dxa"/>
            <w:vMerge w:val="continue"/>
            <w:vAlign w:val="center"/>
          </w:tcPr>
          <w:p>
            <w:pPr>
              <w:ind w:left="105" w:leftChars="50" w:right="105" w:rightChars="50"/>
              <w:jc w:val="left"/>
              <w:rPr>
                <w:rFonts w:ascii="宋体" w:hAnsi="宋体"/>
                <w:color w:val="000000" w:themeColor="text1"/>
                <w:sz w:val="18"/>
                <w:szCs w:val="18"/>
              </w:rPr>
            </w:pP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continue"/>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lef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耐电压性能</w:t>
            </w:r>
          </w:p>
        </w:tc>
        <w:tc>
          <w:tcPr>
            <w:tcW w:w="1555" w:type="dxa"/>
            <w:vMerge w:val="continue"/>
            <w:vAlign w:val="center"/>
          </w:tcPr>
          <w:p>
            <w:pPr>
              <w:ind w:left="105" w:leftChars="50" w:right="105" w:rightChars="50"/>
              <w:jc w:val="left"/>
              <w:rPr>
                <w:rFonts w:ascii="宋体" w:hAnsi="宋体"/>
                <w:color w:val="000000" w:themeColor="text1"/>
                <w:sz w:val="18"/>
                <w:szCs w:val="18"/>
              </w:rPr>
            </w:pP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continue"/>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vAlign w:val="center"/>
          </w:tcPr>
          <w:p>
            <w:pPr>
              <w:ind w:left="235" w:right="57"/>
              <w:rPr>
                <w:rFonts w:ascii="宋体" w:hAnsi="宋体"/>
                <w:color w:val="000000" w:themeColor="text1"/>
                <w:sz w:val="18"/>
                <w:szCs w:val="18"/>
              </w:rPr>
            </w:pPr>
          </w:p>
        </w:tc>
        <w:tc>
          <w:tcPr>
            <w:tcW w:w="1475" w:type="dxa"/>
            <w:vMerge w:val="continue"/>
            <w:tcBorders>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top w:val="single" w:color="auto" w:sz="6" w:space="0"/>
              <w:left w:val="single" w:color="auto" w:sz="4" w:space="0"/>
              <w:bottom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驱动电机过载性</w:t>
            </w:r>
          </w:p>
        </w:tc>
        <w:tc>
          <w:tcPr>
            <w:tcW w:w="1555" w:type="dxa"/>
            <w:vMerge w:val="continue"/>
            <w:vAlign w:val="center"/>
          </w:tcPr>
          <w:p>
            <w:pPr>
              <w:ind w:left="105" w:leftChars="50" w:right="105" w:rightChars="50"/>
              <w:jc w:val="left"/>
              <w:rPr>
                <w:rFonts w:ascii="宋体" w:hAnsi="宋体"/>
                <w:color w:val="000000" w:themeColor="text1"/>
                <w:sz w:val="18"/>
                <w:szCs w:val="18"/>
              </w:rPr>
            </w:pPr>
          </w:p>
        </w:tc>
        <w:tc>
          <w:tcPr>
            <w:tcW w:w="771" w:type="dxa"/>
            <w:tcBorders>
              <w:top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continue"/>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tcBorders>
              <w:bottom w:val="single" w:color="auto" w:sz="6" w:space="0"/>
            </w:tcBorders>
            <w:vAlign w:val="center"/>
          </w:tcPr>
          <w:p>
            <w:pPr>
              <w:ind w:left="235" w:right="57"/>
              <w:rPr>
                <w:rFonts w:ascii="宋体" w:hAnsi="宋体"/>
                <w:color w:val="000000" w:themeColor="text1"/>
                <w:sz w:val="18"/>
                <w:szCs w:val="18"/>
              </w:rPr>
            </w:pPr>
          </w:p>
        </w:tc>
        <w:tc>
          <w:tcPr>
            <w:tcW w:w="1475" w:type="dxa"/>
            <w:vMerge w:val="continue"/>
            <w:tcBorders>
              <w:bottom w:val="single" w:color="auto" w:sz="6" w:space="0"/>
              <w:right w:val="single" w:color="auto" w:sz="4" w:space="0"/>
            </w:tcBorders>
            <w:vAlign w:val="center"/>
          </w:tcPr>
          <w:p>
            <w:pPr>
              <w:ind w:left="105" w:leftChars="50" w:right="105" w:rightChars="50"/>
              <w:jc w:val="left"/>
              <w:rPr>
                <w:color w:val="000000" w:themeColor="text1"/>
                <w:sz w:val="18"/>
                <w:szCs w:val="18"/>
              </w:rPr>
            </w:pPr>
          </w:p>
        </w:tc>
        <w:tc>
          <w:tcPr>
            <w:tcW w:w="2267" w:type="dxa"/>
            <w:gridSpan w:val="2"/>
            <w:tcBorders>
              <w:top w:val="single" w:color="auto" w:sz="6" w:space="0"/>
              <w:left w:val="single" w:color="auto" w:sz="4" w:space="0"/>
              <w:bottom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剩余电量显示</w:t>
            </w:r>
          </w:p>
        </w:tc>
        <w:tc>
          <w:tcPr>
            <w:tcW w:w="1555" w:type="dxa"/>
            <w:vMerge w:val="continue"/>
            <w:tcBorders>
              <w:bottom w:val="single" w:color="auto" w:sz="6" w:space="0"/>
            </w:tcBorders>
            <w:vAlign w:val="center"/>
          </w:tcPr>
          <w:p>
            <w:pPr>
              <w:ind w:left="105" w:leftChars="50" w:right="105" w:rightChars="50"/>
              <w:jc w:val="left"/>
              <w:rPr>
                <w:rFonts w:ascii="宋体" w:hAnsi="宋体"/>
                <w:color w:val="000000" w:themeColor="text1"/>
                <w:sz w:val="18"/>
                <w:szCs w:val="18"/>
              </w:rPr>
            </w:pPr>
          </w:p>
        </w:tc>
        <w:tc>
          <w:tcPr>
            <w:tcW w:w="771" w:type="dxa"/>
            <w:tcBorders>
              <w:top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continue"/>
            <w:tcBorders>
              <w:bottom w:val="single" w:color="auto" w:sz="6" w:space="0"/>
            </w:tcBorders>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tcBorders>
              <w:top w:val="single" w:color="auto" w:sz="6" w:space="0"/>
              <w:left w:val="single" w:color="auto" w:sz="12"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tcBorders>
              <w:top w:val="single" w:color="auto" w:sz="6" w:space="0"/>
              <w:left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照明和光信号装置的配光性能</w:t>
            </w: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5948-1998</w:t>
            </w:r>
          </w:p>
        </w:tc>
        <w:tc>
          <w:tcPr>
            <w:tcW w:w="77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6" w:space="0"/>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tcBorders>
              <w:left w:val="single" w:color="auto" w:sz="12" w:space="0"/>
              <w:bottom w:val="single" w:color="auto" w:sz="6" w:space="0"/>
              <w:right w:val="single" w:color="auto" w:sz="6" w:space="0"/>
            </w:tcBorders>
            <w:vAlign w:val="center"/>
          </w:tcPr>
          <w:p>
            <w:pPr>
              <w:ind w:right="57"/>
              <w:rPr>
                <w:rFonts w:ascii="宋体" w:hAnsi="宋体"/>
                <w:color w:val="000000" w:themeColor="text1"/>
                <w:sz w:val="18"/>
                <w:szCs w:val="18"/>
              </w:rPr>
            </w:pPr>
          </w:p>
        </w:tc>
        <w:tc>
          <w:tcPr>
            <w:tcW w:w="3742" w:type="dxa"/>
            <w:gridSpan w:val="3"/>
            <w:vMerge w:val="continue"/>
            <w:tcBorders>
              <w:left w:val="single" w:color="auto" w:sz="6" w:space="0"/>
              <w:bottom w:val="single" w:color="auto" w:sz="6" w:space="0"/>
              <w:right w:val="single" w:color="auto" w:sz="6" w:space="0"/>
            </w:tcBorders>
            <w:vAlign w:val="center"/>
          </w:tcPr>
          <w:p>
            <w:pPr>
              <w:ind w:left="105" w:leftChars="50" w:right="105" w:rightChars="50"/>
              <w:jc w:val="left"/>
              <w:rPr>
                <w:color w:val="000000" w:themeColor="text1"/>
                <w:sz w:val="18"/>
                <w:szCs w:val="18"/>
              </w:rPr>
            </w:pP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17510-2008</w:t>
            </w:r>
          </w:p>
        </w:tc>
        <w:tc>
          <w:tcPr>
            <w:tcW w:w="77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6" w:space="0"/>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tcBorders>
              <w:top w:val="single" w:color="auto" w:sz="6" w:space="0"/>
              <w:left w:val="single" w:color="auto" w:sz="12" w:space="0"/>
              <w:bottom w:val="single" w:color="auto" w:sz="6"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回复反射器</w:t>
            </w: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11564-2008</w:t>
            </w:r>
          </w:p>
        </w:tc>
        <w:tc>
          <w:tcPr>
            <w:tcW w:w="77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6" w:space="0"/>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tcBorders>
              <w:top w:val="single" w:color="auto" w:sz="6" w:space="0"/>
              <w:left w:val="single" w:color="auto" w:sz="12"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Merge w:val="restart"/>
            <w:tcBorders>
              <w:top w:val="single" w:color="auto" w:sz="6" w:space="0"/>
              <w:left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后视镜性能</w:t>
            </w: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 xml:space="preserve">GB 17352-2010     </w:t>
            </w:r>
          </w:p>
        </w:tc>
        <w:tc>
          <w:tcPr>
            <w:tcW w:w="771" w:type="dxa"/>
            <w:tcBorders>
              <w:top w:val="single" w:color="auto" w:sz="6" w:space="0"/>
              <w:left w:val="single" w:color="auto" w:sz="6" w:space="0"/>
              <w:bottom w:val="single" w:color="auto" w:sz="4"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4"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4"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4"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4"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restart"/>
            <w:tcBorders>
              <w:top w:val="single" w:color="auto" w:sz="6" w:space="0"/>
              <w:left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tcBorders>
              <w:left w:val="single" w:color="auto" w:sz="12" w:space="0"/>
              <w:bottom w:val="single" w:color="auto" w:sz="6" w:space="0"/>
              <w:right w:val="single" w:color="auto" w:sz="6" w:space="0"/>
            </w:tcBorders>
            <w:vAlign w:val="center"/>
          </w:tcPr>
          <w:p>
            <w:pPr>
              <w:ind w:left="235" w:right="57"/>
              <w:rPr>
                <w:rFonts w:ascii="宋体" w:hAnsi="宋体"/>
                <w:color w:val="000000" w:themeColor="text1"/>
                <w:sz w:val="18"/>
                <w:szCs w:val="18"/>
              </w:rPr>
            </w:pPr>
          </w:p>
        </w:tc>
        <w:tc>
          <w:tcPr>
            <w:tcW w:w="3742" w:type="dxa"/>
            <w:gridSpan w:val="3"/>
            <w:vMerge w:val="continue"/>
            <w:tcBorders>
              <w:left w:val="single" w:color="auto" w:sz="6" w:space="0"/>
              <w:bottom w:val="single" w:color="auto" w:sz="6" w:space="0"/>
              <w:right w:val="single" w:color="auto" w:sz="6" w:space="0"/>
            </w:tcBorders>
            <w:vAlign w:val="center"/>
          </w:tcPr>
          <w:p>
            <w:pPr>
              <w:ind w:left="105" w:leftChars="50" w:right="105" w:rightChars="50"/>
              <w:jc w:val="left"/>
              <w:rPr>
                <w:color w:val="000000" w:themeColor="text1"/>
                <w:sz w:val="18"/>
                <w:szCs w:val="18"/>
              </w:rPr>
            </w:pP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15084-2013     （带驾驶室）</w:t>
            </w:r>
          </w:p>
        </w:tc>
        <w:tc>
          <w:tcPr>
            <w:tcW w:w="771" w:type="dxa"/>
            <w:tcBorders>
              <w:top w:val="single" w:color="auto" w:sz="4"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4"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4"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4"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4"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continue"/>
            <w:tcBorders>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tcBorders>
              <w:top w:val="single" w:color="auto" w:sz="6" w:space="0"/>
              <w:left w:val="single" w:color="auto" w:sz="12" w:space="0"/>
              <w:bottom w:val="single" w:color="auto" w:sz="6"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喇叭性能</w:t>
            </w: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color w:val="000000" w:themeColor="text1"/>
              </w:rPr>
            </w:pPr>
            <w:r>
              <w:rPr>
                <w:rFonts w:hint="eastAsia" w:ascii="宋体" w:hAnsi="宋体"/>
                <w:color w:val="000000" w:themeColor="text1"/>
                <w:sz w:val="18"/>
                <w:szCs w:val="18"/>
              </w:rPr>
              <w:t>GB 15742-2001</w:t>
            </w:r>
          </w:p>
        </w:tc>
        <w:tc>
          <w:tcPr>
            <w:tcW w:w="77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6" w:space="0"/>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tcBorders>
              <w:top w:val="single" w:color="auto" w:sz="6" w:space="0"/>
              <w:left w:val="single" w:color="auto" w:sz="12" w:space="0"/>
              <w:bottom w:val="single" w:color="auto" w:sz="6"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制动软管</w:t>
            </w: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16897-2010</w:t>
            </w:r>
          </w:p>
        </w:tc>
        <w:tc>
          <w:tcPr>
            <w:tcW w:w="77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6" w:space="0"/>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tcBorders>
              <w:top w:val="single" w:color="auto" w:sz="6" w:space="0"/>
              <w:left w:val="single" w:color="auto" w:sz="12" w:space="0"/>
              <w:bottom w:val="single" w:color="auto" w:sz="6"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摩托车轮胎</w:t>
            </w:r>
          </w:p>
        </w:tc>
        <w:tc>
          <w:tcPr>
            <w:tcW w:w="155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518-2007</w:t>
            </w:r>
          </w:p>
        </w:tc>
        <w:tc>
          <w:tcPr>
            <w:tcW w:w="77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tcBorders>
              <w:top w:val="single" w:color="auto" w:sz="6" w:space="0"/>
              <w:left w:val="single" w:color="auto" w:sz="6" w:space="0"/>
              <w:bottom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restart"/>
            <w:tcBorders>
              <w:top w:val="single" w:color="auto" w:sz="6" w:space="0"/>
              <w:left w:val="single" w:color="auto" w:sz="12" w:space="0"/>
              <w:right w:val="single" w:color="auto" w:sz="6" w:space="0"/>
            </w:tcBorders>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2043" w:type="dxa"/>
            <w:gridSpan w:val="2"/>
            <w:vMerge w:val="restart"/>
            <w:tcBorders>
              <w:top w:val="single" w:color="auto" w:sz="6" w:space="0"/>
              <w:left w:val="single" w:color="auto" w:sz="6" w:space="0"/>
              <w:right w:val="single" w:color="auto" w:sz="4"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风窗玻璃</w:t>
            </w:r>
          </w:p>
        </w:tc>
        <w:tc>
          <w:tcPr>
            <w:tcW w:w="1699" w:type="dxa"/>
            <w:tcBorders>
              <w:top w:val="single" w:color="auto" w:sz="6" w:space="0"/>
              <w:left w:val="single" w:color="auto" w:sz="4" w:space="0"/>
              <w:bottom w:val="single" w:color="auto" w:sz="4"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夹层玻璃</w:t>
            </w:r>
          </w:p>
        </w:tc>
        <w:tc>
          <w:tcPr>
            <w:tcW w:w="1555" w:type="dxa"/>
            <w:vMerge w:val="restart"/>
            <w:tcBorders>
              <w:top w:val="single" w:color="auto" w:sz="6" w:space="0"/>
              <w:left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 9659-2003</w:t>
            </w:r>
          </w:p>
        </w:tc>
        <w:tc>
          <w:tcPr>
            <w:tcW w:w="771" w:type="dxa"/>
            <w:vMerge w:val="restart"/>
            <w:tcBorders>
              <w:top w:val="single" w:color="auto" w:sz="6" w:space="0"/>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Merge w:val="restart"/>
            <w:tcBorders>
              <w:top w:val="single" w:color="auto" w:sz="6" w:space="0"/>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Merge w:val="restart"/>
            <w:tcBorders>
              <w:top w:val="single" w:color="auto" w:sz="6" w:space="0"/>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Merge w:val="restart"/>
            <w:tcBorders>
              <w:top w:val="single" w:color="auto" w:sz="6" w:space="0"/>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Merge w:val="restart"/>
            <w:tcBorders>
              <w:top w:val="single" w:color="auto" w:sz="6" w:space="0"/>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Merge w:val="restart"/>
            <w:tcBorders>
              <w:top w:val="single" w:color="auto" w:sz="6" w:space="0"/>
              <w:left w:val="single" w:color="auto" w:sz="6" w:space="0"/>
              <w:right w:val="single" w:color="auto" w:sz="12" w:space="0"/>
            </w:tcBorders>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tcBorders>
              <w:left w:val="single" w:color="auto" w:sz="12" w:space="0"/>
              <w:right w:val="single" w:color="auto" w:sz="6" w:space="0"/>
            </w:tcBorders>
            <w:vAlign w:val="center"/>
          </w:tcPr>
          <w:p>
            <w:pPr>
              <w:ind w:left="235" w:right="57"/>
              <w:rPr>
                <w:rFonts w:ascii="宋体" w:hAnsi="宋体"/>
                <w:color w:val="000000" w:themeColor="text1"/>
                <w:sz w:val="18"/>
                <w:szCs w:val="18"/>
              </w:rPr>
            </w:pPr>
          </w:p>
        </w:tc>
        <w:tc>
          <w:tcPr>
            <w:tcW w:w="2043" w:type="dxa"/>
            <w:gridSpan w:val="2"/>
            <w:vMerge w:val="continue"/>
            <w:tcBorders>
              <w:left w:val="single" w:color="auto" w:sz="6" w:space="0"/>
              <w:right w:val="single" w:color="auto" w:sz="4" w:space="0"/>
            </w:tcBorders>
            <w:vAlign w:val="center"/>
          </w:tcPr>
          <w:p>
            <w:pPr>
              <w:ind w:left="105" w:leftChars="50" w:right="105" w:rightChars="50"/>
              <w:jc w:val="left"/>
              <w:rPr>
                <w:color w:val="000000" w:themeColor="text1"/>
                <w:sz w:val="18"/>
                <w:szCs w:val="18"/>
              </w:rPr>
            </w:pPr>
          </w:p>
        </w:tc>
        <w:tc>
          <w:tcPr>
            <w:tcW w:w="1699" w:type="dxa"/>
            <w:tcBorders>
              <w:top w:val="single" w:color="auto" w:sz="4" w:space="0"/>
              <w:left w:val="single" w:color="auto" w:sz="4" w:space="0"/>
              <w:bottom w:val="single" w:color="auto" w:sz="4"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钢化</w:t>
            </w:r>
          </w:p>
        </w:tc>
        <w:tc>
          <w:tcPr>
            <w:tcW w:w="1555" w:type="dxa"/>
            <w:vMerge w:val="continue"/>
            <w:tcBorders>
              <w:left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p>
        </w:tc>
        <w:tc>
          <w:tcPr>
            <w:tcW w:w="771" w:type="dxa"/>
            <w:vMerge w:val="continue"/>
            <w:tcBorders>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82" w:type="dxa"/>
            <w:vMerge w:val="continue"/>
            <w:tcBorders>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73" w:type="dxa"/>
            <w:vMerge w:val="continue"/>
            <w:tcBorders>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57" w:type="dxa"/>
            <w:vMerge w:val="continue"/>
            <w:tcBorders>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82" w:type="dxa"/>
            <w:vMerge w:val="continue"/>
            <w:tcBorders>
              <w:left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4042" w:type="dxa"/>
            <w:vMerge w:val="continue"/>
            <w:tcBorders>
              <w:left w:val="single" w:color="auto" w:sz="6" w:space="0"/>
              <w:right w:val="single" w:color="auto" w:sz="12" w:space="0"/>
            </w:tcBorders>
            <w:vAlign w:val="center"/>
          </w:tcPr>
          <w:p>
            <w:pPr>
              <w:widowControl/>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Merge w:val="continue"/>
            <w:tcBorders>
              <w:left w:val="single" w:color="auto" w:sz="12" w:space="0"/>
              <w:bottom w:val="single" w:color="auto" w:sz="6" w:space="0"/>
              <w:right w:val="single" w:color="auto" w:sz="6" w:space="0"/>
            </w:tcBorders>
            <w:vAlign w:val="center"/>
          </w:tcPr>
          <w:p>
            <w:pPr>
              <w:ind w:right="57"/>
              <w:jc w:val="center"/>
              <w:rPr>
                <w:rFonts w:ascii="宋体" w:hAnsi="宋体"/>
                <w:color w:val="000000" w:themeColor="text1"/>
                <w:sz w:val="18"/>
                <w:szCs w:val="18"/>
              </w:rPr>
            </w:pPr>
          </w:p>
        </w:tc>
        <w:tc>
          <w:tcPr>
            <w:tcW w:w="2043" w:type="dxa"/>
            <w:gridSpan w:val="2"/>
            <w:vMerge w:val="continue"/>
            <w:tcBorders>
              <w:left w:val="single" w:color="auto" w:sz="6" w:space="0"/>
              <w:bottom w:val="single" w:color="auto" w:sz="6" w:space="0"/>
              <w:right w:val="single" w:color="auto" w:sz="4" w:space="0"/>
            </w:tcBorders>
            <w:vAlign w:val="center"/>
          </w:tcPr>
          <w:p>
            <w:pPr>
              <w:ind w:left="105" w:leftChars="50" w:right="105" w:rightChars="50"/>
              <w:jc w:val="left"/>
              <w:rPr>
                <w:color w:val="000000" w:themeColor="text1"/>
                <w:sz w:val="18"/>
                <w:szCs w:val="18"/>
              </w:rPr>
            </w:pPr>
          </w:p>
        </w:tc>
        <w:tc>
          <w:tcPr>
            <w:tcW w:w="1699" w:type="dxa"/>
            <w:tcBorders>
              <w:top w:val="single" w:color="auto" w:sz="4" w:space="0"/>
              <w:left w:val="single" w:color="auto" w:sz="4" w:space="0"/>
              <w:bottom w:val="single" w:color="auto" w:sz="6" w:space="0"/>
              <w:right w:val="single" w:color="auto" w:sz="6" w:space="0"/>
            </w:tcBorders>
            <w:vAlign w:val="center"/>
          </w:tcPr>
          <w:p>
            <w:pPr>
              <w:ind w:left="105" w:leftChars="50" w:right="105" w:rightChars="50"/>
              <w:jc w:val="left"/>
              <w:rPr>
                <w:color w:val="000000" w:themeColor="text1"/>
                <w:sz w:val="18"/>
                <w:szCs w:val="18"/>
              </w:rPr>
            </w:pPr>
            <w:r>
              <w:rPr>
                <w:rFonts w:hint="eastAsia"/>
                <w:color w:val="000000" w:themeColor="text1"/>
                <w:sz w:val="18"/>
                <w:szCs w:val="18"/>
              </w:rPr>
              <w:t>塑玻复合玻璃</w:t>
            </w:r>
          </w:p>
        </w:tc>
        <w:tc>
          <w:tcPr>
            <w:tcW w:w="1555" w:type="dxa"/>
            <w:vMerge w:val="continue"/>
            <w:tcBorders>
              <w:left w:val="single" w:color="auto" w:sz="6" w:space="0"/>
              <w:bottom w:val="single" w:color="auto" w:sz="6" w:space="0"/>
              <w:right w:val="single" w:color="auto" w:sz="6" w:space="0"/>
            </w:tcBorders>
            <w:vAlign w:val="center"/>
          </w:tcPr>
          <w:p>
            <w:pPr>
              <w:ind w:left="105" w:leftChars="50" w:right="105" w:rightChars="50"/>
              <w:jc w:val="left"/>
              <w:rPr>
                <w:rFonts w:ascii="宋体" w:hAnsi="宋体"/>
                <w:color w:val="000000" w:themeColor="text1"/>
                <w:sz w:val="18"/>
                <w:szCs w:val="18"/>
              </w:rPr>
            </w:pPr>
          </w:p>
        </w:tc>
        <w:tc>
          <w:tcPr>
            <w:tcW w:w="771" w:type="dxa"/>
            <w:vMerge w:val="continue"/>
            <w:tcBorders>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82" w:type="dxa"/>
            <w:vMerge w:val="continue"/>
            <w:tcBorders>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73" w:type="dxa"/>
            <w:vMerge w:val="continue"/>
            <w:tcBorders>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57" w:type="dxa"/>
            <w:vMerge w:val="continue"/>
            <w:tcBorders>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782" w:type="dxa"/>
            <w:vMerge w:val="continue"/>
            <w:tcBorders>
              <w:left w:val="single" w:color="auto" w:sz="6" w:space="0"/>
              <w:bottom w:val="single" w:color="auto" w:sz="6" w:space="0"/>
              <w:right w:val="single" w:color="auto" w:sz="6" w:space="0"/>
            </w:tcBorders>
            <w:vAlign w:val="center"/>
          </w:tcPr>
          <w:p>
            <w:pPr>
              <w:ind w:left="105" w:leftChars="50" w:right="105" w:rightChars="50"/>
              <w:jc w:val="center"/>
              <w:rPr>
                <w:rFonts w:ascii="宋体" w:hAnsi="宋体"/>
                <w:color w:val="000000" w:themeColor="text1"/>
                <w:sz w:val="18"/>
                <w:szCs w:val="18"/>
              </w:rPr>
            </w:pPr>
          </w:p>
        </w:tc>
        <w:tc>
          <w:tcPr>
            <w:tcW w:w="4042" w:type="dxa"/>
            <w:vMerge w:val="continue"/>
            <w:tcBorders>
              <w:left w:val="single" w:color="auto" w:sz="6" w:space="0"/>
              <w:bottom w:val="single" w:color="auto" w:sz="6" w:space="0"/>
              <w:right w:val="single" w:color="auto" w:sz="12" w:space="0"/>
            </w:tcBorders>
            <w:vAlign w:val="center"/>
          </w:tcPr>
          <w:p>
            <w:pPr>
              <w:widowControl/>
              <w:ind w:left="105" w:leftChars="50" w:right="105" w:rightChars="50"/>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trPr>
        <w:tc>
          <w:tcPr>
            <w:tcW w:w="658" w:type="dxa"/>
            <w:vAlign w:val="center"/>
          </w:tcPr>
          <w:p>
            <w:pPr>
              <w:numPr>
                <w:ilvl w:val="0"/>
                <w:numId w:val="1"/>
              </w:numPr>
              <w:tabs>
                <w:tab w:val="left" w:pos="-4"/>
              </w:tabs>
              <w:ind w:right="57" w:firstLine="239"/>
              <w:jc w:val="center"/>
              <w:rPr>
                <w:rFonts w:ascii="宋体" w:hAnsi="宋体"/>
                <w:color w:val="000000" w:themeColor="text1"/>
                <w:sz w:val="18"/>
                <w:szCs w:val="18"/>
              </w:rPr>
            </w:pPr>
          </w:p>
        </w:tc>
        <w:tc>
          <w:tcPr>
            <w:tcW w:w="3742" w:type="dxa"/>
            <w:gridSpan w:val="3"/>
            <w:vAlign w:val="center"/>
          </w:tcPr>
          <w:p>
            <w:pPr>
              <w:ind w:left="105" w:leftChars="50" w:right="105" w:rightChars="50"/>
              <w:jc w:val="left"/>
              <w:rPr>
                <w:color w:val="000000" w:themeColor="text1"/>
                <w:sz w:val="18"/>
                <w:szCs w:val="18"/>
              </w:rPr>
            </w:pPr>
            <w:r>
              <w:rPr>
                <w:rFonts w:hint="eastAsia"/>
                <w:color w:val="000000" w:themeColor="text1"/>
                <w:sz w:val="18"/>
                <w:szCs w:val="18"/>
              </w:rPr>
              <w:t>发动机最大扭矩和最大净功率</w:t>
            </w:r>
          </w:p>
        </w:tc>
        <w:tc>
          <w:tcPr>
            <w:tcW w:w="1555" w:type="dxa"/>
            <w:vAlign w:val="center"/>
          </w:tcPr>
          <w:p>
            <w:pPr>
              <w:ind w:left="105" w:leftChars="50" w:right="105" w:rightChars="50"/>
              <w:jc w:val="left"/>
              <w:rPr>
                <w:rFonts w:ascii="宋体" w:hAnsi="宋体"/>
                <w:color w:val="000000" w:themeColor="text1"/>
                <w:sz w:val="18"/>
                <w:szCs w:val="18"/>
              </w:rPr>
            </w:pPr>
            <w:r>
              <w:rPr>
                <w:rFonts w:hint="eastAsia" w:ascii="宋体" w:hAnsi="宋体"/>
                <w:color w:val="000000" w:themeColor="text1"/>
                <w:sz w:val="18"/>
                <w:szCs w:val="18"/>
              </w:rPr>
              <w:t>GB/T 20076-2006</w:t>
            </w:r>
          </w:p>
        </w:tc>
        <w:tc>
          <w:tcPr>
            <w:tcW w:w="771"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73"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57"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782" w:type="dxa"/>
            <w:vAlign w:val="center"/>
          </w:tcPr>
          <w:p>
            <w:pPr>
              <w:ind w:left="105" w:leftChars="50" w:right="105" w:rightChars="50"/>
              <w:jc w:val="center"/>
              <w:rPr>
                <w:rFonts w:ascii="宋体" w:hAnsi="宋体"/>
                <w:color w:val="000000" w:themeColor="text1"/>
                <w:sz w:val="18"/>
                <w:szCs w:val="18"/>
              </w:rPr>
            </w:pPr>
            <w:r>
              <w:rPr>
                <w:rFonts w:hint="eastAsia" w:ascii="宋体" w:hAnsi="宋体"/>
                <w:color w:val="000000" w:themeColor="text1"/>
                <w:sz w:val="18"/>
                <w:szCs w:val="18"/>
              </w:rPr>
              <w:t>-</w:t>
            </w:r>
          </w:p>
        </w:tc>
        <w:tc>
          <w:tcPr>
            <w:tcW w:w="4042" w:type="dxa"/>
            <w:vAlign w:val="center"/>
          </w:tcPr>
          <w:p>
            <w:pPr>
              <w:ind w:left="105" w:leftChars="50" w:right="105" w:rightChars="50"/>
              <w:rPr>
                <w:rFonts w:ascii="宋体" w:hAnsi="宋体"/>
                <w:color w:val="000000" w:themeColor="text1"/>
                <w:sz w:val="18"/>
                <w:szCs w:val="18"/>
              </w:rPr>
            </w:pPr>
            <w:r>
              <w:rPr>
                <w:rFonts w:hint="eastAsia" w:ascii="宋体" w:hAnsi="宋体"/>
                <w:color w:val="000000" w:themeColor="text1"/>
                <w:sz w:val="18"/>
                <w:szCs w:val="18"/>
              </w:rPr>
              <w:t>单体不进行试验</w:t>
            </w:r>
          </w:p>
        </w:tc>
      </w:tr>
    </w:tbl>
    <w:p>
      <w:pPr>
        <w:spacing w:line="580" w:lineRule="exact"/>
        <w:ind w:firstLine="640" w:firstLineChars="200"/>
        <w:rPr>
          <w:rFonts w:ascii="方正仿宋简体" w:eastAsia="方正仿宋简体"/>
          <w:color w:val="000000" w:themeColor="text1"/>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
    <w:altName w:val="仿宋_GB2312"/>
    <w:panose1 w:val="00000000000000000000"/>
    <w:charset w:val="86"/>
    <w:family w:val="swiss"/>
    <w:pitch w:val="default"/>
    <w:sig w:usb0="00000000" w:usb1="00000000"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302658">
    <w:nsid w:val="01821682"/>
    <w:multiLevelType w:val="multilevel"/>
    <w:tmpl w:val="01821682"/>
    <w:lvl w:ilvl="0" w:tentative="1">
      <w:start w:val="1"/>
      <w:numFmt w:val="decimal"/>
      <w:lvlText w:val="%1"/>
      <w:lvlJc w:val="center"/>
      <w:pPr>
        <w:tabs>
          <w:tab w:val="left" w:pos="-4"/>
        </w:tabs>
        <w:ind w:left="-4" w:firstLine="288"/>
      </w:pPr>
      <w:rPr>
        <w:rFonts w:hint="default"/>
      </w:rPr>
    </w:lvl>
    <w:lvl w:ilvl="1" w:tentative="1">
      <w:start w:val="1"/>
      <w:numFmt w:val="lowerLetter"/>
      <w:lvlText w:val="%2)"/>
      <w:lvlJc w:val="left"/>
      <w:pPr>
        <w:tabs>
          <w:tab w:val="left" w:pos="897"/>
        </w:tabs>
        <w:ind w:left="897" w:hanging="420"/>
      </w:pPr>
    </w:lvl>
    <w:lvl w:ilvl="2" w:tentative="1">
      <w:start w:val="1"/>
      <w:numFmt w:val="lowerRoman"/>
      <w:lvlText w:val="%3."/>
      <w:lvlJc w:val="right"/>
      <w:pPr>
        <w:tabs>
          <w:tab w:val="left" w:pos="1317"/>
        </w:tabs>
        <w:ind w:left="1317" w:hanging="420"/>
      </w:pPr>
    </w:lvl>
    <w:lvl w:ilvl="3" w:tentative="1">
      <w:start w:val="1"/>
      <w:numFmt w:val="decimal"/>
      <w:lvlText w:val="%4."/>
      <w:lvlJc w:val="left"/>
      <w:pPr>
        <w:tabs>
          <w:tab w:val="left" w:pos="1737"/>
        </w:tabs>
        <w:ind w:left="1737" w:hanging="420"/>
      </w:pPr>
    </w:lvl>
    <w:lvl w:ilvl="4" w:tentative="1">
      <w:start w:val="1"/>
      <w:numFmt w:val="lowerLetter"/>
      <w:lvlText w:val="%5)"/>
      <w:lvlJc w:val="left"/>
      <w:pPr>
        <w:tabs>
          <w:tab w:val="left" w:pos="2157"/>
        </w:tabs>
        <w:ind w:left="2157" w:hanging="420"/>
      </w:pPr>
    </w:lvl>
    <w:lvl w:ilvl="5" w:tentative="1">
      <w:start w:val="1"/>
      <w:numFmt w:val="lowerRoman"/>
      <w:lvlText w:val="%6."/>
      <w:lvlJc w:val="right"/>
      <w:pPr>
        <w:tabs>
          <w:tab w:val="left" w:pos="2577"/>
        </w:tabs>
        <w:ind w:left="2577" w:hanging="420"/>
      </w:pPr>
    </w:lvl>
    <w:lvl w:ilvl="6" w:tentative="1">
      <w:start w:val="1"/>
      <w:numFmt w:val="decimal"/>
      <w:lvlText w:val="%7."/>
      <w:lvlJc w:val="left"/>
      <w:pPr>
        <w:tabs>
          <w:tab w:val="left" w:pos="2997"/>
        </w:tabs>
        <w:ind w:left="2997" w:hanging="420"/>
      </w:pPr>
    </w:lvl>
    <w:lvl w:ilvl="7" w:tentative="1">
      <w:start w:val="1"/>
      <w:numFmt w:val="lowerLetter"/>
      <w:lvlText w:val="%8)"/>
      <w:lvlJc w:val="left"/>
      <w:pPr>
        <w:tabs>
          <w:tab w:val="left" w:pos="3417"/>
        </w:tabs>
        <w:ind w:left="3417" w:hanging="420"/>
      </w:pPr>
    </w:lvl>
    <w:lvl w:ilvl="8" w:tentative="1">
      <w:start w:val="1"/>
      <w:numFmt w:val="lowerRoman"/>
      <w:lvlText w:val="%9."/>
      <w:lvlJc w:val="right"/>
      <w:pPr>
        <w:tabs>
          <w:tab w:val="left" w:pos="3837"/>
        </w:tabs>
        <w:ind w:left="3837" w:hanging="420"/>
      </w:pPr>
    </w:lvl>
  </w:abstractNum>
  <w:num w:numId="1">
    <w:abstractNumId w:val="253026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A58"/>
    <w:rsid w:val="0008569C"/>
    <w:rsid w:val="00095F0C"/>
    <w:rsid w:val="000E2BC6"/>
    <w:rsid w:val="00133FEA"/>
    <w:rsid w:val="00183DC4"/>
    <w:rsid w:val="002F2D1F"/>
    <w:rsid w:val="00346800"/>
    <w:rsid w:val="00401E95"/>
    <w:rsid w:val="0046713D"/>
    <w:rsid w:val="00546DC0"/>
    <w:rsid w:val="005D3E7F"/>
    <w:rsid w:val="0060422A"/>
    <w:rsid w:val="00673347"/>
    <w:rsid w:val="006D1785"/>
    <w:rsid w:val="007476A4"/>
    <w:rsid w:val="00776223"/>
    <w:rsid w:val="0078311E"/>
    <w:rsid w:val="007C0A58"/>
    <w:rsid w:val="008D4386"/>
    <w:rsid w:val="009013C6"/>
    <w:rsid w:val="00AE4738"/>
    <w:rsid w:val="00B8577A"/>
    <w:rsid w:val="00BB1DFE"/>
    <w:rsid w:val="00D12826"/>
    <w:rsid w:val="00D1645E"/>
    <w:rsid w:val="00E70436"/>
    <w:rsid w:val="00E879AA"/>
    <w:rsid w:val="00F55FF0"/>
    <w:rsid w:val="00FB6204"/>
    <w:rsid w:val="0E364A8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文字 Char"/>
    <w:basedOn w:val="7"/>
    <w:link w:val="3"/>
    <w:semiHidden/>
    <w:qFormat/>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415</Words>
  <Characters>2370</Characters>
  <Lines>19</Lines>
  <Paragraphs>5</Paragraphs>
  <TotalTime>0</TotalTime>
  <ScaleCrop>false</ScaleCrop>
  <LinksUpToDate>false</LinksUpToDate>
  <CharactersWithSpaces>2780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2016-12-09T06:41:00Z</dcterms:created>
  <dc:creator>WangK</dc:creator>
  <cp:lastModifiedBy>王臻</cp:lastModifiedBy>
  <dcterms:modified xsi:type="dcterms:W3CDTF">2017-02-13T06:36:20Z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