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color w:val="000000"/>
          <w:sz w:val="28"/>
          <w:szCs w:val="28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28"/>
          <w:szCs w:val="28"/>
          <w:lang w:val="en-US" w:eastAsia="zh-CN" w:bidi="ar"/>
        </w:rPr>
        <w:t>附件9：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color w:val="000000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b/>
          <w:color w:val="000000"/>
          <w:kern w:val="2"/>
          <w:sz w:val="36"/>
          <w:szCs w:val="36"/>
          <w:lang w:val="en-US" w:eastAsia="zh-CN" w:bidi="ar"/>
        </w:rPr>
        <w:t>机动车零部件产品委托检测收费价格表</w:t>
      </w:r>
    </w:p>
    <w:tbl>
      <w:tblPr>
        <w:tblStyle w:val="3"/>
        <w:tblW w:w="874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814"/>
        <w:gridCol w:w="1590"/>
        <w:gridCol w:w="1999"/>
        <w:gridCol w:w="15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检测项目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依据标准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步入式高低温湿热试验（30m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500/小时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光透射性和光扩散性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200/次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盐雾试验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170/小时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高低温湿热交变试验（0.5m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150/小时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低温湿热试验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150/小时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恒定湿热试验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130/小时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高温试验（0.25m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100/小时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高温试验（1m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150/小时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淋雨试验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400/小时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耐大气介质试验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50/小时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砂尘试验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300/小时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喷砂试验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230/小时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trike/>
                <w:dstrike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正弦、随机振动试验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600/小时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trike/>
                <w:dstrike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冲击试验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100/脉冲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trike/>
                <w:dstrike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机动车电喇叭耐久试验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性能试验含耐久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trike/>
                <w:dstrike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喇叭性能试验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2250/4050/8100（汽车）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同型式收费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trike/>
                <w:dstrike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安全性能综合测试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400/次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strike/>
                <w:dstrike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噪声试验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600/小时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/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70073"/>
    <w:rsid w:val="179700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2018-08-15T06:19:00Z</dcterms:created>
  <dc:creator>张茹</dc:creator>
  <cp:lastModifiedBy>张茹</cp:lastModifiedBy>
  <dcterms:modified xsi:type="dcterms:W3CDTF">2018-08-15T06:20:08Z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