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摩托车产品欧标认证检测收费价格表</w:t>
      </w:r>
    </w:p>
    <w:tbl>
      <w:tblPr>
        <w:tblStyle w:val="3"/>
        <w:tblW w:w="863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94"/>
        <w:gridCol w:w="17"/>
        <w:gridCol w:w="33"/>
        <w:gridCol w:w="1572"/>
        <w:gridCol w:w="1425"/>
        <w:gridCol w:w="1650"/>
        <w:gridCol w:w="1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收费金额（元）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I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冷启动后排气污染物试验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CLASS1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CALSS 2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CLASS 3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II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型双怠速排放和自由加速烟度试验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III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III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型曲轴箱污染物排放试验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IV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IV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蒸发污染物排放试验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V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VII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VII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燃油车与排放试验同时进行不收费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电能量消耗和续驶里程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VII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两轮、三轮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四轮（续驶里程大于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100km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VIII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车载诊断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(OBD)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环境试验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CLASS1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VIII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25600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I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型试验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CALSS 2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25600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CLASS 3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32800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OBD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功能试验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XII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IX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型噪声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行驶噪声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IX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附加噪声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声响报警装置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喇叭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测试程序和性能要求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No.3/2014 Annex 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制动，包括防抱死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(ABS)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和联合制动系统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(CBS)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No.3/2014 Annex III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常规制动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50000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ABS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5000(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辅助轮制作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常规制动收费见附表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车辆操纵件、信号装置和指示器适用要求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No.3/2014 Annex VIII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照明和光信号装置安装，包括照明装置自动开启适用要求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No.3/2014 Annex IX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单个功能灯具：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后视野适用要求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No.3/2014 Annex X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操控性、过弯性能和转向能力适用要求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No.3/2014 Annex XIV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防盗装置适用要求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VI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电磁兼容性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(EMC)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适用要求</w:t>
            </w: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燃油车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VII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电动车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外部凸出物适用要求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VIII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燃料存储适用要求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IX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质量和尺寸适用要求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XI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乘员扶手和脚踏适用要求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XIII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牌照板安装空间适用要求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XIV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支架适用要求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No.44/2014 Annex XVI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1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发动机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电机功率参数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X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250cc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或≤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5kW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250cc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或＞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5kW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1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最高车速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No.134/2014 Annex X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250cc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或≤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5kW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250cc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或＞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5kW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电气安全要求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No.3/2014 Annex IV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宋体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玻璃安装、挡风玻璃刮水器和洗涤系统、除雾和除霜系统适用要求</w:t>
            </w: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宋体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挡风玻璃刮水器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it" w:eastAsia="zh-CN" w:bidi="ar"/>
              </w:rPr>
              <w:t xml:space="preserve">No.3/2014 Annex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VII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洗涤系统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高低温试验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除雾和除霜系统温度测试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废气测试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乘员保护，包括内部凸出物和车门适用要求</w:t>
            </w: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宋体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it" w:eastAsia="zh-CN" w:bidi="ar"/>
              </w:rPr>
              <w:t>内部凸出物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it" w:eastAsia="zh-CN" w:bidi="ar"/>
              </w:rPr>
              <w:t xml:space="preserve">No.3/2014 Annex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XVII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it" w:eastAsia="zh-CN" w:bidi="ar"/>
              </w:rPr>
              <w:t>1350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宋体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it" w:eastAsia="zh-CN" w:bidi="ar"/>
              </w:rPr>
              <w:t>车门适用要求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宋体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it" w:eastAsia="zh-CN" w:bidi="ar"/>
              </w:rPr>
              <w:t>650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装载平台适用要求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it" w:eastAsia="zh-CN" w:bidi="ar"/>
              </w:rPr>
              <w:t xml:space="preserve">No.44/2014 Annex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cs="宋体"/>
          <w:b/>
          <w:sz w:val="28"/>
          <w:szCs w:val="28"/>
          <w:lang w:val="en-US"/>
        </w:rPr>
      </w:pPr>
      <w:bookmarkStart w:id="0" w:name="_GoBack"/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cs="宋体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28"/>
          <w:szCs w:val="28"/>
          <w:lang w:val="en-US" w:eastAsia="zh-CN" w:bidi="ar"/>
        </w:rPr>
        <w:t>附表：常规制动收费分项标准</w:t>
      </w:r>
    </w:p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7AA9"/>
    <w:rsid w:val="21F77A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2018-08-15T06:12:00Z</dcterms:created>
  <dc:creator>张茹</dc:creator>
  <cp:lastModifiedBy>张茹</cp:lastModifiedBy>
  <dcterms:modified xsi:type="dcterms:W3CDTF">2018-08-15T06:13:36Z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