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color w:val="000000"/>
          <w:kern w:val="2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r>
        <w:rPr>
          <w:rFonts w:hint="eastAsia" w:ascii="Times New Roman" w:hAnsi="Times New Roman" w:eastAsia="宋体" w:cs="宋体"/>
          <w:b/>
          <w:color w:val="000000"/>
          <w:kern w:val="2"/>
          <w:sz w:val="36"/>
          <w:szCs w:val="36"/>
          <w:lang w:val="en-US" w:eastAsia="zh-CN" w:bidi="ar"/>
        </w:rPr>
        <w:t>摩托车产品性能检测收费价格表</w:t>
      </w:r>
      <w:bookmarkEnd w:id="0"/>
    </w:p>
    <w:tbl>
      <w:tblPr>
        <w:tblStyle w:val="3"/>
        <w:tblW w:w="87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814"/>
        <w:gridCol w:w="1794"/>
        <w:gridCol w:w="2217"/>
        <w:gridCol w:w="10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依据标准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整车装配评价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整车外观评价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整车商品性评价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整车参数评价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整车动力性评价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整车振动舒适性评价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底盘台架耐久评价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国家标准/企标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4.5/公里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安全性评价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摩托车缺陷评价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起动性能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GB/T 5363-2008 /企标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加速性能（起步、超越加速）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GB/T 5378-2008 /企标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爬坡性能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GB/T 5378-2008 /企标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最高车速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GB/T 5378-2008 /企标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最小稳定车速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GB/T 5378-2008 /企标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等速燃油消耗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可靠性/耐久性行驶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GB/T 5374-2008 /企标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24" w:right="0" w:hanging="50" w:hangingChars="24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平坦路面：5.0/公里，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24" w:right="0" w:hanging="50" w:hangingChars="24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可靠性路面：7.5/公里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包涵水电费、燃油、人工费用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试验场租赁费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内环：5000元/天，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外环：10000元/天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包涵水电费、车辆放置维修场地费用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试验室、检验设备租赁费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1000/小时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包涵水电费、通用燃油费用</w:t>
            </w:r>
          </w:p>
        </w:tc>
      </w:tr>
    </w:tbl>
    <w:p>
      <w:pPr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5306"/>
    <w:rsid w:val="11B953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2018-08-15T01:59:00Z</dcterms:created>
  <dc:creator>张茹</dc:creator>
  <cp:lastModifiedBy>张茹</cp:lastModifiedBy>
  <dcterms:modified xsi:type="dcterms:W3CDTF">2018-08-15T01:59:53Z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