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b/>
          <w:color w:val="000000"/>
          <w:sz w:val="28"/>
          <w:szCs w:val="28"/>
          <w:lang w:val="en-US"/>
        </w:rPr>
      </w:pPr>
      <w:r>
        <w:rPr>
          <w:rFonts w:hint="eastAsia" w:ascii="黑体" w:hAnsi="宋体" w:eastAsia="黑体" w:cs="黑体"/>
          <w:b/>
          <w:color w:val="000000"/>
          <w:kern w:val="2"/>
          <w:sz w:val="28"/>
          <w:szCs w:val="28"/>
          <w:lang w:val="en-US" w:eastAsia="zh-CN" w:bidi="ar"/>
        </w:rPr>
        <w:t>附件1：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color w:val="000000"/>
          <w:sz w:val="28"/>
          <w:szCs w:val="28"/>
          <w:lang w:val="en-US"/>
        </w:rPr>
      </w:pPr>
      <w:bookmarkStart w:id="0" w:name="_GoBack"/>
      <w:r>
        <w:rPr>
          <w:rFonts w:hint="eastAsia" w:ascii="Times New Roman" w:hAnsi="Times New Roman" w:eastAsia="宋体" w:cs="宋体"/>
          <w:b/>
          <w:color w:val="000000"/>
          <w:kern w:val="2"/>
          <w:sz w:val="36"/>
          <w:szCs w:val="36"/>
          <w:lang w:val="en-US" w:eastAsia="zh-CN" w:bidi="ar"/>
        </w:rPr>
        <w:t>摩托车及零部件产品认证检测收费价格表</w:t>
      </w:r>
    </w:p>
    <w:bookmarkEnd w:id="0"/>
    <w:tbl>
      <w:tblPr>
        <w:tblStyle w:val="3"/>
        <w:tblW w:w="874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814"/>
        <w:gridCol w:w="1794"/>
        <w:gridCol w:w="1857"/>
        <w:gridCol w:w="14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检测项目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依据标准</w:t>
            </w: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收费金额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（元）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84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车辆识别代号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16735-2004</w:t>
            </w:r>
          </w:p>
        </w:tc>
        <w:tc>
          <w:tcPr>
            <w:tcW w:w="185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4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8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16737-2004</w:t>
            </w:r>
          </w:p>
        </w:tc>
        <w:tc>
          <w:tcPr>
            <w:tcW w:w="18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车辆标志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7258-2017</w:t>
            </w: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摩托车外廓尺寸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7258-2017</w:t>
            </w: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侧倾稳定角（仅三轮车使用）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7258-2017</w:t>
            </w: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车速受限车辆的最高车速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7258-2017</w:t>
            </w: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车速表指示误差值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7258-2017</w:t>
            </w: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转向轴轴荷比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7258-2017</w:t>
            </w: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三轮车辆整车整备质量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7258-2017</w:t>
            </w: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乘坐人数核定（两轮/三轮)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7258-2017</w:t>
            </w: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500/600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转向装置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7258-2017</w:t>
            </w: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前照灯光束照射位置及发光强度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7258-2017</w:t>
            </w: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84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1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喇叭安装性能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15742-2001</w:t>
            </w:r>
          </w:p>
        </w:tc>
        <w:tc>
          <w:tcPr>
            <w:tcW w:w="185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4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8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7258-2017</w:t>
            </w:r>
          </w:p>
        </w:tc>
        <w:tc>
          <w:tcPr>
            <w:tcW w:w="18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安全防护装置（两轮/三轮)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7258-2017</w:t>
            </w: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400/600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操纵件、指示器及信号装置的图形符号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15365-2008</w:t>
            </w: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驻车性能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GB7258-2012</w:t>
            </w: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84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81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后视镜安装性能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17352-2010</w:t>
            </w:r>
          </w:p>
        </w:tc>
        <w:tc>
          <w:tcPr>
            <w:tcW w:w="185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4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8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15084-2013</w:t>
            </w:r>
          </w:p>
        </w:tc>
        <w:tc>
          <w:tcPr>
            <w:tcW w:w="18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转向锁止防盗装置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17353-2014</w:t>
            </w: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14版实施规则标准更新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</w:trPr>
        <w:tc>
          <w:tcPr>
            <w:tcW w:w="84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81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照明和光信号装置的安装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18100.1-2010</w:t>
            </w:r>
          </w:p>
        </w:tc>
        <w:tc>
          <w:tcPr>
            <w:tcW w:w="185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2250</w:t>
            </w:r>
          </w:p>
        </w:tc>
        <w:tc>
          <w:tcPr>
            <w:tcW w:w="14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</w:trPr>
        <w:tc>
          <w:tcPr>
            <w:tcW w:w="8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18100.2-2010</w:t>
            </w:r>
          </w:p>
        </w:tc>
        <w:tc>
          <w:tcPr>
            <w:tcW w:w="18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8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18100.3-2010</w:t>
            </w:r>
          </w:p>
        </w:tc>
        <w:tc>
          <w:tcPr>
            <w:tcW w:w="18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81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外部凸出物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20074-2006</w:t>
            </w: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20074-2017</w:t>
            </w: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2250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17版实施规则标准更新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乘员扶手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20075-2006</w:t>
            </w: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08版实施规则新增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无线电骚扰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14023-2011</w:t>
            </w: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5400/10800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带电控单元的要做两次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加速行驶噪声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16169-2005</w:t>
            </w: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1350/3150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视是否含有纤维吸声材料而定。脉动调节没包括。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定置噪声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4569-2005</w:t>
            </w: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08版实施规则新增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84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81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燃油消耗量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15744-2008</w:t>
            </w:r>
          </w:p>
        </w:tc>
        <w:tc>
          <w:tcPr>
            <w:tcW w:w="185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14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8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16486-2008</w:t>
            </w:r>
          </w:p>
        </w:tc>
        <w:tc>
          <w:tcPr>
            <w:tcW w:w="18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燃油箱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19482-2004</w:t>
            </w: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1800/14850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08版实施规则新增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4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81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排气污染物排放/国Ⅲ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（触媒按1只计）</w:t>
            </w:r>
          </w:p>
        </w:tc>
        <w:tc>
          <w:tcPr>
            <w:tcW w:w="179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14622-2007（摩托车）                  GB 18176-2007     （轻便摩托车）</w:t>
            </w: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53500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轻便摩托车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56650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摩托车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排气污染物排放/国Ⅳ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（触媒按1只计）</w:t>
            </w:r>
          </w:p>
        </w:tc>
        <w:tc>
          <w:tcPr>
            <w:tcW w:w="179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14622-2016（摩托车）                  GB 18176-2016     （轻便摩托车）</w:t>
            </w: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108400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轻便摩托车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128650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I类、II类摩托车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118750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三轮摩托车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81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制动性能</w:t>
            </w:r>
          </w:p>
        </w:tc>
        <w:tc>
          <w:tcPr>
            <w:tcW w:w="179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20073-2006</w:t>
            </w: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12150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前鼓后鼓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13050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前盘后鼓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13950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前盘后盘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81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前照灯配光性能（远/近光）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5948-1998</w:t>
            </w: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5040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（2只）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19152-2016</w:t>
            </w: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16136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玻璃配光镜LED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17216＋79068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塑料配光镜LED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23606＋79068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塑料配光镜LED（含样片材料试验）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10840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玻璃配光镜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11920＋79068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塑料配光镜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18310＋79068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塑料配光镜L（含样片材料试验）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前转向信号灯、后转向灯、（按功能区分）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17510-2008</w:t>
            </w: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每功能（2只）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前位灯、后位灯、制动灯、后牌照灯（按功能区分）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17510-2008</w:t>
            </w: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每功能（2只）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81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前雾灯配光性能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4660-2007</w:t>
            </w: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8244/9324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14版实施规则新增（2只）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4660-2016</w:t>
            </w: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13412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玻璃配光镜LED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20882＋79068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塑料配光镜LED（含样片材料试验）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8824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玻璃配光镜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16292＋79068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塑料配光镜（含样片材料试验）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后雾灯配光性能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11554-2008</w:t>
            </w: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3024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14版实施规则新增（2只）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倒车灯配光性能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15235-2007</w:t>
            </w: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3024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14版实施规则新增（2只）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回复反射器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11564-2008</w:t>
            </w: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12420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侧、后分别做实验（6只）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84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81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后视镜性能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17352-2010</w:t>
            </w:r>
          </w:p>
        </w:tc>
        <w:tc>
          <w:tcPr>
            <w:tcW w:w="185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14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（2付）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8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15084-2014</w:t>
            </w:r>
          </w:p>
        </w:tc>
        <w:tc>
          <w:tcPr>
            <w:tcW w:w="18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喇叭性能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15742-2001</w:t>
            </w: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2250/4050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（2只）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制动软管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16897-2010</w:t>
            </w: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16050/9900/11250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液压/气压  /真空     14版实施规则新增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发动机最大扭矩和最大净功率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GB/T 20076—2006</w:t>
            </w: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5400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08版实施规则新增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发动机标记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7258-2017</w:t>
            </w: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发动机冷机起动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GB/T 5363-2008</w:t>
            </w: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发动机热机起动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GB/T 5363-2008</w:t>
            </w: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发动机怠速性能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GB/T 5363-2008</w:t>
            </w: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发动机怠速污染物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14621-2011</w:t>
            </w: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24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0" w:firstLineChars="1750"/>
        <w:jc w:val="both"/>
        <w:rPr>
          <w:sz w:val="24"/>
          <w:szCs w:val="22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4"/>
          <w:szCs w:val="22"/>
          <w:lang w:val="en-US"/>
        </w:rPr>
      </w:pPr>
      <w:r>
        <w:rPr>
          <w:rFonts w:hint="eastAsia" w:ascii="Times New Roman" w:hAnsi="Times New Roman" w:eastAsia="宋体" w:cs="宋体"/>
          <w:kern w:val="2"/>
          <w:sz w:val="24"/>
          <w:szCs w:val="22"/>
          <w:lang w:val="en-US" w:eastAsia="zh-CN" w:bidi="ar"/>
        </w:rPr>
        <w:t>附表</w:t>
      </w:r>
      <w:r>
        <w:rPr>
          <w:rFonts w:hint="default" w:ascii="Times New Roman" w:hAnsi="Times New Roman" w:eastAsia="宋体" w:cs="Times New Roman"/>
          <w:kern w:val="2"/>
          <w:sz w:val="24"/>
          <w:szCs w:val="22"/>
          <w:lang w:val="en-US" w:eastAsia="zh-CN" w:bidi="ar"/>
        </w:rPr>
        <w:t>1</w:t>
      </w:r>
      <w:r>
        <w:rPr>
          <w:rFonts w:hint="eastAsia" w:ascii="Times New Roman" w:hAnsi="Times New Roman" w:eastAsia="宋体" w:cs="宋体"/>
          <w:kern w:val="2"/>
          <w:sz w:val="24"/>
          <w:szCs w:val="22"/>
          <w:lang w:val="en-US" w:eastAsia="zh-CN" w:bidi="ar"/>
        </w:rPr>
        <w:t>：国Ⅳ收费</w:t>
      </w:r>
    </w:p>
    <w:tbl>
      <w:tblPr>
        <w:tblStyle w:val="3"/>
        <w:tblW w:w="9800" w:type="dxa"/>
        <w:tblInd w:w="91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1529"/>
        <w:gridCol w:w="2040"/>
        <w:gridCol w:w="1905"/>
        <w:gridCol w:w="3295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检验项目</w:t>
            </w:r>
          </w:p>
        </w:tc>
        <w:tc>
          <w:tcPr>
            <w:tcW w:w="72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试验收费（人民币：元/次/型号）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预循环precondition</w:t>
            </w:r>
          </w:p>
        </w:tc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两轮摩托车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Ⅰ、Ⅱ类</w:t>
            </w:r>
          </w:p>
        </w:tc>
        <w:tc>
          <w:tcPr>
            <w:tcW w:w="3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Ⅲ类</w:t>
            </w:r>
          </w:p>
        </w:tc>
        <w:tc>
          <w:tcPr>
            <w:tcW w:w="3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三轮摩托车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汽油机</w:t>
            </w:r>
          </w:p>
        </w:tc>
        <w:tc>
          <w:tcPr>
            <w:tcW w:w="3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柴油机</w:t>
            </w:r>
          </w:p>
        </w:tc>
        <w:tc>
          <w:tcPr>
            <w:tcW w:w="3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轻便摩托车</w:t>
            </w:r>
          </w:p>
        </w:tc>
        <w:tc>
          <w:tcPr>
            <w:tcW w:w="3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Ⅰ型试验Test type Ⅰ</w:t>
            </w:r>
          </w:p>
        </w:tc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两轮摩托车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Ⅰ、Ⅱ类</w:t>
            </w:r>
          </w:p>
        </w:tc>
        <w:tc>
          <w:tcPr>
            <w:tcW w:w="3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Ⅲ类</w:t>
            </w:r>
          </w:p>
        </w:tc>
        <w:tc>
          <w:tcPr>
            <w:tcW w:w="3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三轮摩托车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汽油机</w:t>
            </w:r>
          </w:p>
        </w:tc>
        <w:tc>
          <w:tcPr>
            <w:tcW w:w="3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柴油机</w:t>
            </w:r>
          </w:p>
        </w:tc>
        <w:tc>
          <w:tcPr>
            <w:tcW w:w="3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轻便摩托车</w:t>
            </w:r>
          </w:p>
        </w:tc>
        <w:tc>
          <w:tcPr>
            <w:tcW w:w="3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Ⅱ型试验Test type Ⅱ</w:t>
            </w:r>
          </w:p>
        </w:tc>
        <w:tc>
          <w:tcPr>
            <w:tcW w:w="3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双怠速</w:t>
            </w:r>
          </w:p>
        </w:tc>
        <w:tc>
          <w:tcPr>
            <w:tcW w:w="3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自由加速烟度</w:t>
            </w:r>
          </w:p>
        </w:tc>
        <w:tc>
          <w:tcPr>
            <w:tcW w:w="3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Ⅲ型试验Test type Ⅲ</w:t>
            </w:r>
          </w:p>
        </w:tc>
        <w:tc>
          <w:tcPr>
            <w:tcW w:w="3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Ⅳ型试验Test type Ⅳ</w:t>
            </w:r>
          </w:p>
        </w:tc>
        <w:tc>
          <w:tcPr>
            <w:tcW w:w="3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昼间</w:t>
            </w:r>
          </w:p>
        </w:tc>
        <w:tc>
          <w:tcPr>
            <w:tcW w:w="3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热浸</w:t>
            </w:r>
          </w:p>
        </w:tc>
        <w:tc>
          <w:tcPr>
            <w:tcW w:w="3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Ⅴ型试验Test type Ⅴ</w:t>
            </w:r>
          </w:p>
        </w:tc>
        <w:tc>
          <w:tcPr>
            <w:tcW w:w="3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污染控制装置耐久性</w:t>
            </w:r>
          </w:p>
        </w:tc>
        <w:tc>
          <w:tcPr>
            <w:tcW w:w="3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4.5元/公里（台架耐久）+预循环试验费+进行的Ⅰ型试验费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OBD试验Test type Ⅷ</w:t>
            </w:r>
          </w:p>
        </w:tc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两轮摩托车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Ⅰ、Ⅱ类</w:t>
            </w:r>
          </w:p>
        </w:tc>
        <w:tc>
          <w:tcPr>
            <w:tcW w:w="3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2000+循环费用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Ⅲ类</w:t>
            </w:r>
          </w:p>
        </w:tc>
        <w:tc>
          <w:tcPr>
            <w:tcW w:w="3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2000+循环费用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三轮摩托车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汽油机</w:t>
            </w:r>
          </w:p>
        </w:tc>
        <w:tc>
          <w:tcPr>
            <w:tcW w:w="3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2000+循环费用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柴油机</w:t>
            </w:r>
          </w:p>
        </w:tc>
        <w:tc>
          <w:tcPr>
            <w:tcW w:w="3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2000+循环费用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轻便摩托车</w:t>
            </w:r>
          </w:p>
        </w:tc>
        <w:tc>
          <w:tcPr>
            <w:tcW w:w="3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2000+循环费用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炭罐初始工作能力试验</w:t>
            </w:r>
          </w:p>
        </w:tc>
        <w:tc>
          <w:tcPr>
            <w:tcW w:w="3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贵金属含量试验/每只</w:t>
            </w:r>
          </w:p>
        </w:tc>
        <w:tc>
          <w:tcPr>
            <w:tcW w:w="3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5000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sz w:val="24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Times New Roman" w:hAnsi="Times New Roman" w:eastAsia="宋体" w:cs="宋体"/>
          <w:kern w:val="2"/>
          <w:sz w:val="24"/>
          <w:szCs w:val="22"/>
          <w:lang w:val="en-US" w:eastAsia="zh-CN" w:bidi="ar"/>
        </w:rPr>
        <w:t>附表</w:t>
      </w:r>
      <w:r>
        <w:rPr>
          <w:rFonts w:hint="default" w:ascii="Times New Roman" w:hAnsi="Times New Roman" w:eastAsia="宋体" w:cs="Times New Roman"/>
          <w:kern w:val="2"/>
          <w:sz w:val="24"/>
          <w:szCs w:val="22"/>
          <w:lang w:val="en-US" w:eastAsia="zh-CN" w:bidi="ar"/>
        </w:rPr>
        <w:t>2</w:t>
      </w:r>
      <w:r>
        <w:rPr>
          <w:rFonts w:hint="eastAsia" w:ascii="Times New Roman" w:hAnsi="Times New Roman" w:eastAsia="宋体" w:cs="宋体"/>
          <w:kern w:val="2"/>
          <w:sz w:val="24"/>
          <w:szCs w:val="22"/>
          <w:lang w:val="en-US" w:eastAsia="zh-CN" w:bidi="ar"/>
        </w:rPr>
        <w:t>：摩托车前照灯</w:t>
      </w:r>
      <w:r>
        <w:rPr>
          <w:rFonts w:hint="default" w:ascii="Times New Roman" w:hAnsi="Times New Roman" w:eastAsia="宋体" w:cs="Times New Roman"/>
          <w:kern w:val="2"/>
          <w:sz w:val="24"/>
          <w:szCs w:val="22"/>
          <w:lang w:val="en-US" w:eastAsia="zh-CN" w:bidi="ar"/>
        </w:rPr>
        <w:t>GB 19152-2016</w:t>
      </w:r>
      <w:r>
        <w:rPr>
          <w:rFonts w:hint="eastAsia" w:ascii="Times New Roman" w:hAnsi="Times New Roman" w:eastAsia="宋体" w:cs="宋体"/>
          <w:kern w:val="2"/>
          <w:sz w:val="24"/>
          <w:szCs w:val="22"/>
          <w:lang w:val="en-US" w:eastAsia="zh-CN" w:bidi="ar"/>
        </w:rPr>
        <w:t>收费</w:t>
      </w:r>
    </w:p>
    <w:tbl>
      <w:tblPr>
        <w:tblStyle w:val="3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966"/>
        <w:gridCol w:w="1634"/>
        <w:gridCol w:w="720"/>
        <w:gridCol w:w="180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样品名称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试验项目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依据标准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建议费用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整灯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配光性能 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GB19152-2016 5.7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2088*2=4176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远、近光 2 个功能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光电参数 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GB 19152-2016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252*2=504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远、近光 2 个功能（LED 光源暂缓）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色度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GB 19152-5.2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180*2=360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远、近光 2 个功能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照度和色度稳定 性试验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GB 19152-2016 附录 C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1620*2=3240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 个样品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点灯 12H 并复测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GB 19152-2016 附录 D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污染复测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GB 19152-2016 附录 D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明暗截止线变化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GB 19152-2016 附录 D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机械磨损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GB 19152-2016 附录 E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仅塑料透镜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涂层附着力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GB 19152-2016 附录 E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仅塑料透镜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显色性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GB 19152-2016 附录 C 3.1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400*2=800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远、近光 2 个功能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UV 含量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GB 19152-2016 附录 C 3.2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目标光通量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GB 19152-2016 附录 C.4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近光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塑料配光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镜材料和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光学组件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耐温试验</w:t>
            </w:r>
          </w:p>
        </w:tc>
        <w:tc>
          <w:tcPr>
            <w:tcW w:w="23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GB 19152-2016 附录 E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17528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光源辐照试验</w:t>
            </w:r>
          </w:p>
        </w:tc>
        <w:tc>
          <w:tcPr>
            <w:tcW w:w="23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61540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透过率测量</w:t>
            </w:r>
          </w:p>
        </w:tc>
        <w:tc>
          <w:tcPr>
            <w:tcW w:w="23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90*27+90*3+90*3+180*3+900*3+180=6390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可拆卸配光镜的整灯一只；成形配光镜三片；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80*60mm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样片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10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片。共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10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块配光片，其中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9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块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前后初复测透射率及漫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透射率共计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27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次，耐化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学试剂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3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块配光片，耐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燃油和耐洗涤剂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3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块配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光片，机械磨损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3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块配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光片，机械磨损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1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块配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光片，涂层附着力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1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漫射透过率测量</w:t>
            </w:r>
          </w:p>
        </w:tc>
        <w:tc>
          <w:tcPr>
            <w:tcW w:w="23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耐化学试剂试验</w:t>
            </w:r>
          </w:p>
        </w:tc>
        <w:tc>
          <w:tcPr>
            <w:tcW w:w="23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耐洗涤剂试验</w:t>
            </w:r>
          </w:p>
        </w:tc>
        <w:tc>
          <w:tcPr>
            <w:tcW w:w="23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耐燃油试验</w:t>
            </w:r>
          </w:p>
        </w:tc>
        <w:tc>
          <w:tcPr>
            <w:tcW w:w="23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机械磨损试验</w:t>
            </w:r>
          </w:p>
        </w:tc>
        <w:tc>
          <w:tcPr>
            <w:tcW w:w="23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涂层附着力试验</w:t>
            </w:r>
          </w:p>
        </w:tc>
        <w:tc>
          <w:tcPr>
            <w:tcW w:w="23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整灯或者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光学组件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抗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 xml:space="preserve"> UV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辐射组件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GB 19152-2016 附录 C 3.2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低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 xml:space="preserve"> UV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辐射光源或光学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组件已使用抗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 xml:space="preserve"> UV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防护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免做。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可认可报告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总价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玻璃配光镜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 xml:space="preserve"> LED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前照灯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16136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4176+360+3240+4000+1000+800 +800+1200+560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不做整灯机械磨损及涂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层附着力试验，配光镜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材料实验，光电参数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（光源辐照，耐温，抗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 xml:space="preserve"> UV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辐射认可报告）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塑料配光镜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 xml:space="preserve"> LED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前照灯整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灯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17216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＋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79068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4176+360+3240+4000+1000+800 +900+180+800+1200+560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不做光电参数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（光源辐照，耐温，抗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 xml:space="preserve"> UV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辐射认可报告）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塑料配光镜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 xml:space="preserve"> LED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前照灯（含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样片）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23606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＋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79068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17216+6390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含样片材料试验费用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 xml:space="preserve"> 6390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玻璃配光镜灯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丝灯泡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10840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4176+504+360+4000+1000+800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不做照度色度稳定性，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显色性，不做整灯机械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磨损及涂层附着力试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验，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 xml:space="preserve">UV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含量，目标光通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量，塑料配光镜材料实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塑料配光镜灯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丝灯泡整灯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11920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＋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79068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4176+504+360+4000+1000+800+ 900+180 6390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不做照度色度稳定性，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显色性，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 xml:space="preserve">UV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含量，目标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光通量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塑料配光镜灯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丝灯泡（含样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片）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18310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＋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79068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11920+6390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含样片材料试验费用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 xml:space="preserve"> 6390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4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4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4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4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4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4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4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4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4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4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4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4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4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4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4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4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4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4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4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4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4"/>
          <w:szCs w:val="22"/>
          <w:lang w:val="en-US"/>
        </w:rPr>
      </w:pPr>
      <w:r>
        <w:rPr>
          <w:rFonts w:hint="eastAsia" w:ascii="Times New Roman" w:hAnsi="Times New Roman" w:eastAsia="宋体" w:cs="宋体"/>
          <w:kern w:val="2"/>
          <w:sz w:val="24"/>
          <w:szCs w:val="22"/>
          <w:lang w:val="en-US" w:eastAsia="zh-CN" w:bidi="ar"/>
        </w:rPr>
        <w:t>附表</w:t>
      </w:r>
      <w:r>
        <w:rPr>
          <w:rFonts w:hint="default" w:ascii="Times New Roman" w:hAnsi="Times New Roman" w:eastAsia="宋体" w:cs="Times New Roman"/>
          <w:kern w:val="2"/>
          <w:sz w:val="24"/>
          <w:szCs w:val="22"/>
          <w:lang w:val="en-US" w:eastAsia="zh-CN" w:bidi="ar"/>
        </w:rPr>
        <w:t>3</w:t>
      </w:r>
      <w:r>
        <w:rPr>
          <w:rFonts w:hint="eastAsia" w:ascii="Times New Roman" w:hAnsi="Times New Roman" w:eastAsia="宋体" w:cs="宋体"/>
          <w:kern w:val="2"/>
          <w:sz w:val="24"/>
          <w:szCs w:val="22"/>
          <w:lang w:val="en-US" w:eastAsia="zh-CN" w:bidi="ar"/>
        </w:rPr>
        <w:t>：制动试验</w:t>
      </w:r>
    </w:p>
    <w:tbl>
      <w:tblPr>
        <w:tblStyle w:val="3"/>
        <w:tblW w:w="10887" w:type="dxa"/>
        <w:jc w:val="center"/>
        <w:tblInd w:w="5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2541"/>
        <w:gridCol w:w="3214"/>
        <w:gridCol w:w="1182"/>
        <w:gridCol w:w="8"/>
        <w:gridCol w:w="2088"/>
        <w:gridCol w:w="1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适用车型</w:t>
            </w:r>
          </w:p>
        </w:tc>
        <w:tc>
          <w:tcPr>
            <w:tcW w:w="3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试验项目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加载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状态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制动器类型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试验费用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（元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5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L1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L2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L3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L4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L5</w:t>
            </w:r>
          </w:p>
        </w:tc>
        <w:tc>
          <w:tcPr>
            <w:tcW w:w="3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最高车速性能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轻负载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磨合试验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轻负载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单独操纵制动控制器的干式制动试验</w:t>
            </w:r>
          </w:p>
        </w:tc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满载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前制动器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2250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后制动器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2250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联动制动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2250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多回路制动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2250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轻负载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联动制动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多回路制动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L3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L4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L5</w:t>
            </w:r>
          </w:p>
        </w:tc>
        <w:tc>
          <w:tcPr>
            <w:tcW w:w="3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同时操纵制动控制器的干式制动试验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轻负载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2250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L3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L4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L5</w:t>
            </w:r>
          </w:p>
        </w:tc>
        <w:tc>
          <w:tcPr>
            <w:tcW w:w="3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高速制动试验（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Vmax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＞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125km/h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轻负载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2250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L1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L2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L3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L4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L5</w:t>
            </w:r>
          </w:p>
        </w:tc>
        <w:tc>
          <w:tcPr>
            <w:tcW w:w="3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湿式制动试验</w:t>
            </w:r>
          </w:p>
        </w:tc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满载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前制动器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后制动器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联动制动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多回路制动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轻负载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联动制动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多回路制动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color w:val="FF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L3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L4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L5</w:t>
            </w:r>
          </w:p>
        </w:tc>
        <w:tc>
          <w:tcPr>
            <w:tcW w:w="3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衰退试验</w:t>
            </w:r>
          </w:p>
        </w:tc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满载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前制动器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color w:val="FF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后制动器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联动制动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多回路制动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L2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L4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L5</w:t>
            </w:r>
          </w:p>
        </w:tc>
        <w:tc>
          <w:tcPr>
            <w:tcW w:w="3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驻车制动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满载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L3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L4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L5</w:t>
            </w:r>
          </w:p>
        </w:tc>
        <w:tc>
          <w:tcPr>
            <w:tcW w:w="3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多回路系统部分失效试验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轻负载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L1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L2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L3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L4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L5</w:t>
            </w:r>
          </w:p>
        </w:tc>
        <w:tc>
          <w:tcPr>
            <w:tcW w:w="3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助力制动系统失效试验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满载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L1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L2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L3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L4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L5</w:t>
            </w:r>
          </w:p>
        </w:tc>
        <w:tc>
          <w:tcPr>
            <w:tcW w:w="3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联动制动系统失效试验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满载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L1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L3</w:t>
            </w:r>
          </w:p>
        </w:tc>
        <w:tc>
          <w:tcPr>
            <w:tcW w:w="3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ABS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轻负载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72250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02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1、湿式制动检测之前需要进行3次单独操纵制动控制器的干式制动试验(基准试验），其费用应加上3次干式制动的试验费用；   （GB20073-2018  A.3.4.3.1)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02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2、无论何种配置，带观察孔或通风孔的鼓式制动器做湿式制动，带封闭盘式不做湿式制动；（GB20073-2018  A.3.4.1.3)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02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3、第35项联动制动系统失效试验：如不同行车制动系统共用液压或机械传能装置，则进行失效试验；（GB20073-2018  E.1.2)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02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4、磨合程序：工厂可自行完成。如在工厂自行完成，试验方案中应注明“工厂已完成磨合”；前后独立制动系统磨合前后分别进行100次，共计30000元；联动或多回路磨合进行100次制动，共计15000元。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02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5、第34项，装有助力制动系统时（定义见GB 20073-2018第3.10)进行试验。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02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6、采用联合制动或多回路制动时，应注意应急制动是否为盘式，如为盘式，应进行湿式制动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02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7、第17项检测，车辆应满足GB7258-2017对正三轮摩托车 a)条定义。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02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8、应注意鼓式制动器是否带通风孔或者观察孔，原因：正三轮摩托车制动时，可能需要散热装置，故存在通风孔的情况。</w:t>
            </w:r>
          </w:p>
        </w:tc>
      </w:tr>
    </w:tbl>
    <w:p>
      <w:pPr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@黑体"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黑体"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66190"/>
    <w:rsid w:val="46C661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2018-08-15T01:34:00Z</dcterms:created>
  <dc:creator>张茹</dc:creator>
  <cp:lastModifiedBy>张茹</cp:lastModifiedBy>
  <dcterms:modified xsi:type="dcterms:W3CDTF">2018-08-15T01:39:08Z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